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F0" w:rsidRPr="00AD55C1" w:rsidRDefault="007207F0" w:rsidP="00AD55C1">
      <w:pPr>
        <w:spacing w:line="260" w:lineRule="exact"/>
        <w:rPr>
          <w:rFonts w:ascii="Verdana" w:hAnsi="Verdana" w:cs="Verdana"/>
          <w:sz w:val="18"/>
          <w:szCs w:val="18"/>
        </w:rPr>
      </w:pPr>
      <w:r w:rsidRPr="00AD55C1">
        <w:rPr>
          <w:rFonts w:ascii="Verdana" w:hAnsi="Verdana" w:cs="Verdana"/>
          <w:b/>
          <w:bCs/>
          <w:sz w:val="18"/>
          <w:szCs w:val="18"/>
        </w:rPr>
        <w:t xml:space="preserve">Wijziging van de Implementatiewet richtlijn solvabiliteit II </w:t>
      </w:r>
      <w:r w:rsidR="00353FA1">
        <w:rPr>
          <w:rFonts w:ascii="Verdana" w:hAnsi="Verdana" w:cs="Verdana"/>
          <w:b/>
          <w:bCs/>
          <w:sz w:val="18"/>
          <w:szCs w:val="18"/>
        </w:rPr>
        <w:t xml:space="preserve">en </w:t>
      </w:r>
      <w:r w:rsidR="00353FA1" w:rsidRPr="00E62FA6">
        <w:rPr>
          <w:rFonts w:ascii="Verdana" w:hAnsi="Verdana" w:cs="Verdana"/>
          <w:b/>
          <w:bCs/>
          <w:sz w:val="18"/>
          <w:szCs w:val="18"/>
        </w:rPr>
        <w:t>de Implementatiewet richtlijn financiële conglomeraten I</w:t>
      </w:r>
      <w:r w:rsidR="00353FA1" w:rsidRPr="007A1462">
        <w:rPr>
          <w:rFonts w:ascii="Verdana" w:hAnsi="Verdana" w:cs="Verdana"/>
          <w:bCs/>
          <w:sz w:val="18"/>
          <w:szCs w:val="18"/>
        </w:rPr>
        <w:t xml:space="preserve"> </w:t>
      </w:r>
      <w:r w:rsidRPr="00AD55C1">
        <w:rPr>
          <w:rFonts w:ascii="Verdana" w:hAnsi="Verdana" w:cs="Verdana"/>
          <w:b/>
          <w:bCs/>
          <w:sz w:val="18"/>
          <w:szCs w:val="18"/>
        </w:rPr>
        <w:t xml:space="preserve">ter implementatie van de richtlijn </w:t>
      </w:r>
      <w:r w:rsidR="00F355EB" w:rsidRPr="00AD55C1">
        <w:rPr>
          <w:rFonts w:ascii="Verdana" w:hAnsi="Verdana" w:cs="Verdana"/>
          <w:b/>
          <w:bCs/>
          <w:sz w:val="18"/>
          <w:szCs w:val="18"/>
        </w:rPr>
        <w:t>2014/51</w:t>
      </w:r>
      <w:r w:rsidRPr="00AD55C1">
        <w:rPr>
          <w:rFonts w:ascii="Verdana" w:hAnsi="Verdana" w:cs="Verdana"/>
          <w:b/>
          <w:bCs/>
          <w:sz w:val="18"/>
          <w:szCs w:val="18"/>
        </w:rPr>
        <w:t xml:space="preserve">/EU </w:t>
      </w:r>
      <w:r w:rsidRPr="00AD55C1">
        <w:rPr>
          <w:rFonts w:ascii="Verdana" w:hAnsi="Verdana" w:cs="Verdana"/>
          <w:b/>
          <w:sz w:val="18"/>
          <w:szCs w:val="18"/>
        </w:rPr>
        <w:t xml:space="preserve">van het Europees Parlement en de Raad van </w:t>
      </w:r>
      <w:r w:rsidR="00F355EB" w:rsidRPr="00AD55C1">
        <w:rPr>
          <w:rFonts w:ascii="Verdana" w:hAnsi="Verdana" w:cs="Verdana"/>
          <w:b/>
          <w:sz w:val="18"/>
          <w:szCs w:val="18"/>
        </w:rPr>
        <w:t xml:space="preserve">16 april </w:t>
      </w:r>
      <w:r w:rsidRPr="00AD55C1">
        <w:rPr>
          <w:rFonts w:ascii="Verdana" w:hAnsi="Verdana" w:cs="Verdana"/>
          <w:b/>
          <w:sz w:val="18"/>
          <w:szCs w:val="18"/>
        </w:rPr>
        <w:t xml:space="preserve">2014 </w:t>
      </w:r>
      <w:r w:rsidR="00F355EB" w:rsidRPr="00AD55C1">
        <w:rPr>
          <w:rFonts w:ascii="Verdana" w:hAnsi="Verdana" w:cs="Verdana"/>
          <w:b/>
          <w:sz w:val="18"/>
          <w:szCs w:val="18"/>
        </w:rPr>
        <w:t xml:space="preserve">tot </w:t>
      </w:r>
      <w:r w:rsidRPr="00AD55C1">
        <w:rPr>
          <w:rFonts w:ascii="Verdana" w:hAnsi="Verdana" w:cs="Verdana"/>
          <w:b/>
          <w:sz w:val="18"/>
          <w:szCs w:val="18"/>
        </w:rPr>
        <w:t>wijziging van de Richtlijnen</w:t>
      </w:r>
      <w:r w:rsidRPr="00AD55C1">
        <w:rPr>
          <w:rFonts w:ascii="Verdana" w:hAnsi="Verdana" w:cs="Verdana"/>
          <w:b/>
          <w:bCs/>
          <w:sz w:val="18"/>
          <w:szCs w:val="18"/>
        </w:rPr>
        <w:t xml:space="preserve"> 2003/71/EU en 2009/138/E</w:t>
      </w:r>
      <w:r w:rsidR="00F355EB" w:rsidRPr="00AD55C1">
        <w:rPr>
          <w:rFonts w:ascii="Verdana" w:hAnsi="Verdana" w:cs="Verdana"/>
          <w:b/>
          <w:bCs/>
          <w:sz w:val="18"/>
          <w:szCs w:val="18"/>
        </w:rPr>
        <w:t>G, alsmede de Verordeningen (EG) nr. 1060/2009, (EU) nr. 1094/2010 en (EU) nr. 1095/2010 wat de bevoegdheden van de Europese toezichthoudende autoriteit (Europese Autoriteit voor verzekeringen en bedrijfspensioenen) en de Europese toezichthoudende autoriteit (Europese Autoriteit voor effecten en markten) betreft</w:t>
      </w:r>
      <w:r w:rsidRPr="00AD55C1">
        <w:rPr>
          <w:rFonts w:ascii="Verdana" w:hAnsi="Verdana" w:cs="Verdana"/>
          <w:b/>
          <w:bCs/>
          <w:sz w:val="18"/>
          <w:szCs w:val="18"/>
        </w:rPr>
        <w:t xml:space="preserve"> </w:t>
      </w:r>
      <w:r w:rsidRPr="00AD55C1">
        <w:rPr>
          <w:rFonts w:ascii="Verdana" w:hAnsi="Verdana" w:cs="Verdana"/>
          <w:b/>
          <w:sz w:val="18"/>
          <w:szCs w:val="18"/>
        </w:rPr>
        <w:t>(PbEU 2014, L</w:t>
      </w:r>
      <w:r w:rsidR="00F355EB" w:rsidRPr="00AD55C1">
        <w:rPr>
          <w:rFonts w:ascii="Verdana" w:hAnsi="Verdana" w:cs="Verdana"/>
          <w:b/>
          <w:sz w:val="18"/>
          <w:szCs w:val="18"/>
        </w:rPr>
        <w:t xml:space="preserve"> 153</w:t>
      </w:r>
      <w:r w:rsidRPr="00AD55C1">
        <w:rPr>
          <w:rFonts w:ascii="Verdana" w:hAnsi="Verdana" w:cs="Verdana"/>
          <w:b/>
          <w:sz w:val="18"/>
          <w:szCs w:val="18"/>
        </w:rPr>
        <w:t>)</w:t>
      </w:r>
      <w:r w:rsidRPr="00AD55C1" w:rsidDel="00987856">
        <w:rPr>
          <w:rFonts w:ascii="Verdana" w:hAnsi="Verdana" w:cs="Verdana"/>
          <w:b/>
          <w:bCs/>
          <w:sz w:val="18"/>
          <w:szCs w:val="18"/>
        </w:rPr>
        <w:t xml:space="preserve"> </w:t>
      </w:r>
      <w:r w:rsidRPr="00AD55C1">
        <w:rPr>
          <w:rFonts w:ascii="Verdana" w:hAnsi="Verdana" w:cs="Verdana"/>
          <w:b/>
          <w:bCs/>
          <w:sz w:val="18"/>
          <w:szCs w:val="18"/>
        </w:rPr>
        <w:t>(</w:t>
      </w:r>
      <w:r w:rsidR="00641370" w:rsidRPr="00AD55C1">
        <w:rPr>
          <w:rFonts w:ascii="Verdana" w:hAnsi="Verdana" w:cs="Verdana"/>
          <w:b/>
          <w:bCs/>
          <w:sz w:val="18"/>
          <w:szCs w:val="18"/>
        </w:rPr>
        <w:t>W</w:t>
      </w:r>
      <w:r w:rsidRPr="00AD55C1">
        <w:rPr>
          <w:rFonts w:ascii="Verdana" w:hAnsi="Verdana" w:cs="Verdana"/>
          <w:b/>
          <w:bCs/>
          <w:sz w:val="18"/>
          <w:szCs w:val="18"/>
        </w:rPr>
        <w:t xml:space="preserve">et </w:t>
      </w:r>
      <w:r w:rsidR="00641370" w:rsidRPr="00AD55C1">
        <w:rPr>
          <w:rFonts w:ascii="Verdana" w:hAnsi="Verdana" w:cs="Verdana"/>
          <w:b/>
          <w:bCs/>
          <w:sz w:val="18"/>
          <w:szCs w:val="18"/>
        </w:rPr>
        <w:t>implementatie O</w:t>
      </w:r>
      <w:r w:rsidRPr="00AD55C1">
        <w:rPr>
          <w:rFonts w:ascii="Verdana" w:hAnsi="Verdana" w:cs="Verdana"/>
          <w:b/>
          <w:bCs/>
          <w:sz w:val="18"/>
          <w:szCs w:val="18"/>
        </w:rPr>
        <w:t>mnibus II</w:t>
      </w:r>
      <w:r w:rsidR="00641370" w:rsidRPr="00AD55C1">
        <w:rPr>
          <w:rFonts w:ascii="Verdana" w:hAnsi="Verdana" w:cs="Verdana"/>
          <w:b/>
          <w:bCs/>
          <w:sz w:val="18"/>
          <w:szCs w:val="18"/>
        </w:rPr>
        <w:t>-richtlijn</w:t>
      </w:r>
      <w:r w:rsidRPr="00AD55C1">
        <w:rPr>
          <w:rFonts w:ascii="Verdana" w:hAnsi="Verdana" w:cs="Verdana"/>
          <w:b/>
          <w:bCs/>
          <w:sz w:val="18"/>
          <w:szCs w:val="18"/>
        </w:rPr>
        <w:t>)</w:t>
      </w:r>
    </w:p>
    <w:p w:rsidR="007207F0" w:rsidRPr="00AD55C1" w:rsidRDefault="007207F0" w:rsidP="00AD55C1">
      <w:pPr>
        <w:spacing w:line="260" w:lineRule="exact"/>
        <w:rPr>
          <w:rFonts w:ascii="Verdana" w:hAnsi="Verdana"/>
          <w:b/>
          <w:sz w:val="18"/>
          <w:szCs w:val="18"/>
        </w:rPr>
      </w:pPr>
      <w:bookmarkStart w:id="0" w:name="_GoBack"/>
      <w:bookmarkEnd w:id="0"/>
    </w:p>
    <w:p w:rsidR="007207F0" w:rsidRPr="00AD55C1" w:rsidRDefault="007207F0" w:rsidP="00AD55C1">
      <w:pPr>
        <w:spacing w:line="260" w:lineRule="exact"/>
        <w:rPr>
          <w:rFonts w:ascii="Verdana" w:hAnsi="Verdana"/>
          <w:b/>
          <w:sz w:val="18"/>
          <w:szCs w:val="18"/>
        </w:rPr>
      </w:pPr>
    </w:p>
    <w:p w:rsidR="00E727D5" w:rsidRPr="00AD55C1" w:rsidRDefault="004E1327" w:rsidP="00AD55C1">
      <w:pPr>
        <w:spacing w:line="260" w:lineRule="exact"/>
        <w:rPr>
          <w:rFonts w:ascii="Verdana" w:hAnsi="Verdana"/>
          <w:b/>
          <w:sz w:val="18"/>
          <w:szCs w:val="18"/>
        </w:rPr>
      </w:pPr>
      <w:r w:rsidRPr="00AD55C1">
        <w:rPr>
          <w:rFonts w:ascii="Verdana" w:hAnsi="Verdana"/>
          <w:b/>
          <w:sz w:val="18"/>
          <w:szCs w:val="18"/>
        </w:rPr>
        <w:t>MEMORIE VAN TOELICHTING</w:t>
      </w:r>
    </w:p>
    <w:p w:rsidR="00F8329A" w:rsidRPr="00AD55C1" w:rsidRDefault="00F8329A" w:rsidP="00AD55C1">
      <w:pPr>
        <w:spacing w:line="260" w:lineRule="exact"/>
        <w:rPr>
          <w:rFonts w:ascii="Verdana" w:hAnsi="Verdana"/>
          <w:sz w:val="18"/>
          <w:szCs w:val="18"/>
        </w:rPr>
      </w:pPr>
    </w:p>
    <w:p w:rsidR="00000E6E" w:rsidRPr="00AD55C1" w:rsidRDefault="004E1327" w:rsidP="00AD55C1">
      <w:pPr>
        <w:spacing w:line="260" w:lineRule="exact"/>
        <w:rPr>
          <w:rFonts w:ascii="Verdana" w:hAnsi="Verdana"/>
          <w:b/>
          <w:sz w:val="18"/>
          <w:szCs w:val="18"/>
        </w:rPr>
      </w:pPr>
      <w:r w:rsidRPr="00AD55C1">
        <w:rPr>
          <w:rFonts w:ascii="Verdana" w:hAnsi="Verdana"/>
          <w:b/>
          <w:sz w:val="18"/>
          <w:szCs w:val="18"/>
        </w:rPr>
        <w:t>ALGEMEEN</w:t>
      </w:r>
    </w:p>
    <w:p w:rsidR="00000E6E" w:rsidRPr="00AD55C1" w:rsidRDefault="00000E6E" w:rsidP="00AD55C1">
      <w:pPr>
        <w:spacing w:line="260" w:lineRule="exact"/>
        <w:rPr>
          <w:rFonts w:ascii="Verdana" w:hAnsi="Verdana"/>
          <w:sz w:val="18"/>
          <w:szCs w:val="18"/>
        </w:rPr>
      </w:pPr>
    </w:p>
    <w:p w:rsidR="0035076D" w:rsidRPr="00AD55C1" w:rsidRDefault="002C30AA" w:rsidP="00AD55C1">
      <w:pPr>
        <w:spacing w:line="260" w:lineRule="exact"/>
        <w:rPr>
          <w:rFonts w:ascii="Verdana" w:hAnsi="Verdana"/>
          <w:b/>
          <w:i/>
          <w:sz w:val="18"/>
          <w:szCs w:val="18"/>
        </w:rPr>
      </w:pPr>
      <w:r w:rsidRPr="00AD55C1">
        <w:rPr>
          <w:rFonts w:ascii="Verdana" w:hAnsi="Verdana"/>
          <w:b/>
          <w:i/>
          <w:sz w:val="18"/>
          <w:szCs w:val="18"/>
        </w:rPr>
        <w:t xml:space="preserve">1. </w:t>
      </w:r>
      <w:r w:rsidR="0035076D" w:rsidRPr="00AD55C1">
        <w:rPr>
          <w:rFonts w:ascii="Verdana" w:hAnsi="Verdana"/>
          <w:b/>
          <w:i/>
          <w:sz w:val="18"/>
          <w:szCs w:val="18"/>
        </w:rPr>
        <w:t>Inleiding</w:t>
      </w: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Dit wetsvoorstel dient in de eerste plaats ter implementatie van de </w:t>
      </w:r>
      <w:r w:rsidR="00137ECF" w:rsidRPr="00AD55C1">
        <w:rPr>
          <w:rFonts w:ascii="Verdana" w:hAnsi="Verdana"/>
          <w:sz w:val="18"/>
          <w:szCs w:val="18"/>
        </w:rPr>
        <w:t>Omnibus II-richtlijn</w:t>
      </w:r>
      <w:r w:rsidRPr="00AD55C1">
        <w:rPr>
          <w:rStyle w:val="Voetnootmarkering"/>
          <w:rFonts w:ascii="Verdana" w:hAnsi="Verdana"/>
          <w:sz w:val="18"/>
          <w:szCs w:val="18"/>
        </w:rPr>
        <w:footnoteReference w:id="2"/>
      </w:r>
      <w:r w:rsidRPr="00AD55C1">
        <w:rPr>
          <w:rFonts w:ascii="Verdana" w:hAnsi="Verdana"/>
          <w:sz w:val="18"/>
          <w:szCs w:val="18"/>
        </w:rPr>
        <w:t>. Het wijzigt de Implementatiewet richtlijn solvabiliteit II en de Implementatiewet richtlijn financiële conglomeraten</w:t>
      </w:r>
      <w:r w:rsidR="00131BC8" w:rsidRPr="00AD55C1">
        <w:rPr>
          <w:rFonts w:ascii="Verdana" w:hAnsi="Verdana"/>
          <w:sz w:val="18"/>
          <w:szCs w:val="18"/>
        </w:rPr>
        <w:t xml:space="preserve"> I</w:t>
      </w:r>
      <w:r w:rsidR="00353FA1">
        <w:rPr>
          <w:rFonts w:ascii="Verdana" w:hAnsi="Verdana"/>
          <w:sz w:val="18"/>
          <w:szCs w:val="18"/>
        </w:rPr>
        <w:t xml:space="preserve"> die beide strekken tot wijzing van de Wet op het financieel toezicht (Wft)</w:t>
      </w:r>
      <w:r w:rsidRPr="00AD55C1">
        <w:rPr>
          <w:rFonts w:ascii="Verdana" w:hAnsi="Verdana"/>
          <w:sz w:val="18"/>
          <w:szCs w:val="18"/>
        </w:rPr>
        <w:t xml:space="preserve">. De </w:t>
      </w:r>
      <w:r w:rsidR="00137ECF" w:rsidRPr="00AD55C1">
        <w:rPr>
          <w:rFonts w:ascii="Verdana" w:hAnsi="Verdana"/>
          <w:sz w:val="18"/>
          <w:szCs w:val="18"/>
        </w:rPr>
        <w:t>Omnibus II-richtlijn</w:t>
      </w:r>
      <w:r w:rsidRPr="00AD55C1">
        <w:rPr>
          <w:rFonts w:ascii="Verdana" w:hAnsi="Verdana"/>
          <w:sz w:val="18"/>
          <w:szCs w:val="18"/>
        </w:rPr>
        <w:t xml:space="preserve"> dient grotendeels op 31 maart 2015 te zijn geïmplementeerd in nationale regelgeving. De bepalingen moeten –evenals de bepalingen van de richtlijn solvabiliteit II- worden toegepast vanaf 1 januari 2016. De periode tussen de inwerkingtredingsdatum van 31 maart 2015 en de datum van 1 januari 2016 vanaf welke datum daadwerkelijk toepassing moet plaatsvinden, moet zowel de sector als de toezichthouder in de gelegenheid stellen waar nodig de organisatie aan te passen aan het nieuwe </w:t>
      </w:r>
      <w:r w:rsidR="000230DF" w:rsidRPr="00AD55C1">
        <w:rPr>
          <w:rFonts w:ascii="Verdana" w:hAnsi="Verdana"/>
          <w:sz w:val="18"/>
          <w:szCs w:val="18"/>
        </w:rPr>
        <w:t>s</w:t>
      </w:r>
      <w:r w:rsidRPr="00AD55C1">
        <w:rPr>
          <w:rFonts w:ascii="Verdana" w:hAnsi="Verdana"/>
          <w:sz w:val="18"/>
          <w:szCs w:val="18"/>
        </w:rPr>
        <w:t xml:space="preserve">olvabiliteit II-regime. De </w:t>
      </w:r>
      <w:r w:rsidR="00137ECF" w:rsidRPr="00AD55C1">
        <w:rPr>
          <w:rFonts w:ascii="Verdana" w:hAnsi="Verdana"/>
          <w:sz w:val="18"/>
          <w:szCs w:val="18"/>
        </w:rPr>
        <w:t>Omnibus II-richtlijn</w:t>
      </w:r>
      <w:r w:rsidRPr="00AD55C1">
        <w:rPr>
          <w:rFonts w:ascii="Verdana" w:hAnsi="Verdana"/>
          <w:sz w:val="18"/>
          <w:szCs w:val="18"/>
        </w:rPr>
        <w:t xml:space="preserve"> brengt de richtlijn solvabiliteit II</w:t>
      </w:r>
      <w:r w:rsidR="00442C22" w:rsidRPr="00AD55C1">
        <w:rPr>
          <w:rStyle w:val="Voetnootmarkering"/>
          <w:rFonts w:ascii="Verdana" w:hAnsi="Verdana"/>
          <w:sz w:val="18"/>
          <w:szCs w:val="18"/>
        </w:rPr>
        <w:footnoteReference w:id="3"/>
      </w:r>
      <w:r w:rsidRPr="00AD55C1">
        <w:rPr>
          <w:rFonts w:ascii="Verdana" w:hAnsi="Verdana"/>
          <w:sz w:val="18"/>
          <w:szCs w:val="18"/>
        </w:rPr>
        <w:t xml:space="preserve"> </w:t>
      </w:r>
      <w:r w:rsidR="00442C22" w:rsidRPr="00AD55C1">
        <w:rPr>
          <w:rFonts w:ascii="Verdana" w:hAnsi="Verdana"/>
          <w:sz w:val="18"/>
          <w:szCs w:val="18"/>
        </w:rPr>
        <w:t>en de richtlijn prospectus</w:t>
      </w:r>
      <w:r w:rsidR="00442C22" w:rsidRPr="00AD55C1">
        <w:rPr>
          <w:rStyle w:val="Voetnootmarkering"/>
          <w:rFonts w:ascii="Verdana" w:hAnsi="Verdana"/>
          <w:sz w:val="18"/>
          <w:szCs w:val="18"/>
        </w:rPr>
        <w:footnoteReference w:id="4"/>
      </w:r>
      <w:r w:rsidR="00442C22" w:rsidRPr="00AD55C1">
        <w:rPr>
          <w:rFonts w:ascii="Verdana" w:hAnsi="Verdana"/>
          <w:sz w:val="18"/>
          <w:szCs w:val="18"/>
        </w:rPr>
        <w:t xml:space="preserve"> </w:t>
      </w:r>
      <w:r w:rsidRPr="00AD55C1">
        <w:rPr>
          <w:rFonts w:ascii="Verdana" w:hAnsi="Verdana"/>
          <w:sz w:val="18"/>
          <w:szCs w:val="18"/>
        </w:rPr>
        <w:t xml:space="preserve">in lijn met het Verdrag van Lissabon, op een vergelijkbare wijze als waarop door </w:t>
      </w:r>
      <w:r w:rsidR="00364D1A" w:rsidRPr="00AD55C1">
        <w:rPr>
          <w:rFonts w:ascii="Verdana" w:hAnsi="Verdana"/>
          <w:sz w:val="18"/>
          <w:szCs w:val="18"/>
        </w:rPr>
        <w:t xml:space="preserve">de </w:t>
      </w:r>
      <w:r w:rsidR="00137ECF" w:rsidRPr="00AD55C1">
        <w:rPr>
          <w:rFonts w:ascii="Verdana" w:hAnsi="Verdana"/>
          <w:sz w:val="18"/>
          <w:szCs w:val="18"/>
        </w:rPr>
        <w:t>O</w:t>
      </w:r>
      <w:r w:rsidRPr="00AD55C1">
        <w:rPr>
          <w:rFonts w:ascii="Verdana" w:hAnsi="Verdana"/>
          <w:sz w:val="18"/>
          <w:szCs w:val="18"/>
        </w:rPr>
        <w:t>mnibus I</w:t>
      </w:r>
      <w:r w:rsidR="00137ECF" w:rsidRPr="00AD55C1">
        <w:rPr>
          <w:rFonts w:ascii="Verdana" w:hAnsi="Verdana"/>
          <w:sz w:val="18"/>
          <w:szCs w:val="18"/>
        </w:rPr>
        <w:t xml:space="preserve">-richtlijn </w:t>
      </w:r>
      <w:r w:rsidRPr="00AD55C1">
        <w:rPr>
          <w:rFonts w:ascii="Verdana" w:hAnsi="Verdana"/>
          <w:sz w:val="18"/>
          <w:szCs w:val="18"/>
        </w:rPr>
        <w:t xml:space="preserve">wijzigingen zijn aangebracht in een aantal andere richtlijnen. Daarnaast wordt door de </w:t>
      </w:r>
      <w:r w:rsidR="00137ECF" w:rsidRPr="00AD55C1">
        <w:rPr>
          <w:rFonts w:ascii="Verdana" w:hAnsi="Verdana"/>
          <w:sz w:val="18"/>
          <w:szCs w:val="18"/>
        </w:rPr>
        <w:t>Omnibus II-richtlijn</w:t>
      </w:r>
      <w:r w:rsidRPr="00AD55C1">
        <w:rPr>
          <w:rFonts w:ascii="Verdana" w:hAnsi="Verdana"/>
          <w:sz w:val="18"/>
          <w:szCs w:val="18"/>
        </w:rPr>
        <w:t xml:space="preserve"> overgangsrecht ingevoegd in de richtlijn solvabiliteit II en wordt op een paar inhoudelijke punten een versoepeling </w:t>
      </w:r>
      <w:r w:rsidR="003B0749">
        <w:rPr>
          <w:rFonts w:ascii="Verdana" w:hAnsi="Verdana"/>
          <w:sz w:val="18"/>
          <w:szCs w:val="18"/>
        </w:rPr>
        <w:t>d</w:t>
      </w:r>
      <w:r w:rsidRPr="00AD55C1">
        <w:rPr>
          <w:rFonts w:ascii="Verdana" w:hAnsi="Verdana"/>
          <w:sz w:val="18"/>
          <w:szCs w:val="18"/>
        </w:rPr>
        <w:t>oorge</w:t>
      </w:r>
      <w:r w:rsidR="003B0749">
        <w:rPr>
          <w:rFonts w:ascii="Verdana" w:hAnsi="Verdana"/>
          <w:sz w:val="18"/>
          <w:szCs w:val="18"/>
        </w:rPr>
        <w:t>voer</w:t>
      </w:r>
      <w:r w:rsidRPr="00AD55C1">
        <w:rPr>
          <w:rFonts w:ascii="Verdana" w:hAnsi="Verdana"/>
          <w:sz w:val="18"/>
          <w:szCs w:val="18"/>
        </w:rPr>
        <w:t xml:space="preserve">d. Op hoofdlijnen worden de wijzigingen die voortvloeien uit de </w:t>
      </w:r>
      <w:r w:rsidR="00137ECF" w:rsidRPr="00AD55C1">
        <w:rPr>
          <w:rFonts w:ascii="Verdana" w:hAnsi="Verdana"/>
          <w:sz w:val="18"/>
          <w:szCs w:val="18"/>
        </w:rPr>
        <w:t>Omnibus II-richtlijn</w:t>
      </w:r>
      <w:r w:rsidRPr="00AD55C1">
        <w:rPr>
          <w:rFonts w:ascii="Verdana" w:hAnsi="Verdana"/>
          <w:sz w:val="18"/>
          <w:szCs w:val="18"/>
        </w:rPr>
        <w:t xml:space="preserve"> hierna toegelicht in paragraaf </w:t>
      </w:r>
      <w:r w:rsidR="00641370" w:rsidRPr="00AD55C1">
        <w:rPr>
          <w:rFonts w:ascii="Verdana" w:hAnsi="Verdana"/>
          <w:sz w:val="18"/>
          <w:szCs w:val="18"/>
        </w:rPr>
        <w:t>3</w:t>
      </w:r>
      <w:r w:rsidRPr="00AD55C1">
        <w:rPr>
          <w:rFonts w:ascii="Verdana" w:hAnsi="Verdana"/>
          <w:sz w:val="18"/>
          <w:szCs w:val="18"/>
        </w:rPr>
        <w:t>.</w:t>
      </w:r>
    </w:p>
    <w:p w:rsidR="0035076D" w:rsidRPr="00AD55C1" w:rsidRDefault="0035076D" w:rsidP="00AD55C1">
      <w:pPr>
        <w:spacing w:line="260" w:lineRule="exact"/>
        <w:rPr>
          <w:rFonts w:ascii="Verdana" w:hAnsi="Verdana"/>
          <w:sz w:val="18"/>
          <w:szCs w:val="18"/>
        </w:rPr>
      </w:pPr>
    </w:p>
    <w:p w:rsidR="00D7782B" w:rsidRPr="00AD55C1" w:rsidRDefault="0035076D" w:rsidP="00AD55C1">
      <w:pPr>
        <w:pStyle w:val="Default"/>
        <w:spacing w:line="260" w:lineRule="exact"/>
        <w:rPr>
          <w:rFonts w:ascii="Verdana" w:hAnsi="Verdana"/>
          <w:sz w:val="18"/>
          <w:szCs w:val="18"/>
        </w:rPr>
      </w:pPr>
      <w:r w:rsidRPr="00AD55C1">
        <w:rPr>
          <w:rFonts w:ascii="Verdana" w:hAnsi="Verdana"/>
          <w:sz w:val="18"/>
          <w:szCs w:val="18"/>
        </w:rPr>
        <w:t xml:space="preserve">Daarnaast </w:t>
      </w:r>
      <w:r w:rsidR="00353FA1">
        <w:rPr>
          <w:rFonts w:ascii="Verdana" w:hAnsi="Verdana"/>
          <w:sz w:val="18"/>
          <w:szCs w:val="18"/>
        </w:rPr>
        <w:t xml:space="preserve">wordt </w:t>
      </w:r>
      <w:r w:rsidRPr="00AD55C1">
        <w:rPr>
          <w:rFonts w:ascii="Verdana" w:hAnsi="Verdana"/>
          <w:sz w:val="18"/>
          <w:szCs w:val="18"/>
        </w:rPr>
        <w:t xml:space="preserve">van de gelegenheid gebruik gemaakt om de Implementatiewet richtlijn solvabiliteit II aan te passen aan de inmiddels door andere wetten reeds gewijzigde Wet op het financieel toezicht. De inwerkingtreding van het merendeel van de artikelen </w:t>
      </w:r>
      <w:r w:rsidR="000230DF" w:rsidRPr="00AD55C1">
        <w:rPr>
          <w:rFonts w:ascii="Verdana" w:hAnsi="Verdana"/>
          <w:sz w:val="18"/>
          <w:szCs w:val="18"/>
        </w:rPr>
        <w:t xml:space="preserve">van de Implementatiewet </w:t>
      </w:r>
      <w:r w:rsidR="00131BC8" w:rsidRPr="00AD55C1">
        <w:rPr>
          <w:rFonts w:ascii="Verdana" w:hAnsi="Verdana"/>
          <w:sz w:val="18"/>
          <w:szCs w:val="18"/>
        </w:rPr>
        <w:lastRenderedPageBreak/>
        <w:t xml:space="preserve">richtlijn </w:t>
      </w:r>
      <w:r w:rsidR="000230DF" w:rsidRPr="00AD55C1">
        <w:rPr>
          <w:rFonts w:ascii="Verdana" w:hAnsi="Verdana"/>
          <w:sz w:val="18"/>
          <w:szCs w:val="18"/>
        </w:rPr>
        <w:t xml:space="preserve">solvabiliteit II </w:t>
      </w:r>
      <w:r w:rsidRPr="00AD55C1">
        <w:rPr>
          <w:rFonts w:ascii="Verdana" w:hAnsi="Verdana"/>
          <w:sz w:val="18"/>
          <w:szCs w:val="18"/>
        </w:rPr>
        <w:t>was aangehouden</w:t>
      </w:r>
      <w:r w:rsidR="00C261D9" w:rsidRPr="00AD55C1">
        <w:rPr>
          <w:rFonts w:ascii="Verdana" w:hAnsi="Verdana"/>
          <w:sz w:val="18"/>
          <w:szCs w:val="18"/>
        </w:rPr>
        <w:t xml:space="preserve"> omdat </w:t>
      </w:r>
      <w:r w:rsidR="00353FA1">
        <w:rPr>
          <w:rFonts w:ascii="Verdana" w:hAnsi="Verdana"/>
          <w:sz w:val="18"/>
          <w:szCs w:val="18"/>
        </w:rPr>
        <w:t xml:space="preserve">de inwerkingtreding van de richtlijn solvabiliteit II enkele malen is uitgesteld. Bovendien is die richtlijn </w:t>
      </w:r>
      <w:r w:rsidR="00C261D9" w:rsidRPr="00AD55C1">
        <w:rPr>
          <w:rFonts w:ascii="Verdana" w:hAnsi="Verdana"/>
          <w:sz w:val="18"/>
          <w:szCs w:val="18"/>
        </w:rPr>
        <w:t xml:space="preserve">gewijzigd door de Omnibus II-richtlijn. Nu de onderhandelingen over de Omnibus II-richtlijn zijn afgerond en deze richtlijn inmiddels is gepubliceerd, kunnen ook de artikelen uit de richtlijn solvabiliteit II in werking </w:t>
      </w:r>
      <w:r w:rsidR="0018298F" w:rsidRPr="00AD55C1">
        <w:rPr>
          <w:rFonts w:ascii="Verdana" w:hAnsi="Verdana"/>
          <w:sz w:val="18"/>
          <w:szCs w:val="18"/>
        </w:rPr>
        <w:t xml:space="preserve">treden. </w:t>
      </w:r>
      <w:r w:rsidR="00C261D9" w:rsidRPr="00AD55C1">
        <w:rPr>
          <w:rFonts w:ascii="Verdana" w:hAnsi="Verdana"/>
          <w:sz w:val="18"/>
          <w:szCs w:val="18"/>
        </w:rPr>
        <w:t xml:space="preserve">Door het ontstane oponthoud op Europees niveau </w:t>
      </w:r>
      <w:r w:rsidR="000230DF" w:rsidRPr="00AD55C1">
        <w:rPr>
          <w:rFonts w:ascii="Verdana" w:hAnsi="Verdana"/>
          <w:sz w:val="18"/>
          <w:szCs w:val="18"/>
        </w:rPr>
        <w:t xml:space="preserve">is het inmiddels </w:t>
      </w:r>
      <w:r w:rsidR="00C261D9" w:rsidRPr="00AD55C1">
        <w:rPr>
          <w:rFonts w:ascii="Verdana" w:hAnsi="Verdana"/>
          <w:sz w:val="18"/>
          <w:szCs w:val="18"/>
        </w:rPr>
        <w:t xml:space="preserve">wel </w:t>
      </w:r>
      <w:r w:rsidR="000230DF" w:rsidRPr="00AD55C1">
        <w:rPr>
          <w:rFonts w:ascii="Verdana" w:hAnsi="Verdana"/>
          <w:sz w:val="18"/>
          <w:szCs w:val="18"/>
        </w:rPr>
        <w:t xml:space="preserve">nodig de </w:t>
      </w:r>
      <w:r w:rsidR="00353FA1">
        <w:rPr>
          <w:rFonts w:ascii="Verdana" w:hAnsi="Verdana"/>
          <w:sz w:val="18"/>
          <w:szCs w:val="18"/>
        </w:rPr>
        <w:t>I</w:t>
      </w:r>
      <w:r w:rsidR="000230DF" w:rsidRPr="00AD55C1">
        <w:rPr>
          <w:rFonts w:ascii="Verdana" w:hAnsi="Verdana"/>
          <w:sz w:val="18"/>
          <w:szCs w:val="18"/>
        </w:rPr>
        <w:t xml:space="preserve">mplementatiewet </w:t>
      </w:r>
      <w:r w:rsidR="00131BC8" w:rsidRPr="00AD55C1">
        <w:rPr>
          <w:rFonts w:ascii="Verdana" w:hAnsi="Verdana"/>
          <w:sz w:val="18"/>
          <w:szCs w:val="18"/>
        </w:rPr>
        <w:t xml:space="preserve">richtlijn </w:t>
      </w:r>
      <w:r w:rsidR="000230DF" w:rsidRPr="00AD55C1">
        <w:rPr>
          <w:rFonts w:ascii="Verdana" w:hAnsi="Verdana"/>
          <w:sz w:val="18"/>
          <w:szCs w:val="18"/>
        </w:rPr>
        <w:t>solvabiliteit II te actualiseren.</w:t>
      </w:r>
      <w:r w:rsidRPr="00AD55C1">
        <w:rPr>
          <w:rFonts w:ascii="Verdana" w:hAnsi="Verdana"/>
          <w:sz w:val="18"/>
          <w:szCs w:val="18"/>
        </w:rPr>
        <w:t xml:space="preserve"> </w:t>
      </w:r>
      <w:r w:rsidR="009814A3" w:rsidRPr="00AD55C1">
        <w:rPr>
          <w:rFonts w:ascii="Verdana" w:hAnsi="Verdana"/>
          <w:sz w:val="18"/>
          <w:szCs w:val="18"/>
          <w:lang w:eastAsia="en-US"/>
        </w:rPr>
        <w:t xml:space="preserve">Onder meer vervallen in de Implementatiewet richtlijn solvabiliteit II bepalingen over samenwerking tussen toezichthouders. Dit houdt verband met de </w:t>
      </w:r>
      <w:r w:rsidR="00D52023" w:rsidRPr="00AD55C1">
        <w:rPr>
          <w:rFonts w:ascii="Verdana" w:hAnsi="Verdana" w:cs="Verdana"/>
          <w:bCs/>
          <w:sz w:val="18"/>
          <w:szCs w:val="18"/>
        </w:rPr>
        <w:t>Regeling</w:t>
      </w:r>
      <w:r w:rsidR="00D52023" w:rsidRPr="00AD55C1">
        <w:rPr>
          <w:rFonts w:ascii="Verdana" w:hAnsi="Verdana"/>
          <w:sz w:val="18"/>
          <w:szCs w:val="18"/>
        </w:rPr>
        <w:t xml:space="preserve"> taakuitoefening en grensoverschrijdende samenwerking financiële toezichthouders Wft</w:t>
      </w:r>
      <w:r w:rsidR="00D52023" w:rsidRPr="00AD55C1">
        <w:rPr>
          <w:rFonts w:ascii="Verdana" w:hAnsi="Verdana" w:cs="Verdana"/>
          <w:bCs/>
          <w:sz w:val="18"/>
          <w:szCs w:val="18"/>
        </w:rPr>
        <w:t xml:space="preserve"> </w:t>
      </w:r>
      <w:r w:rsidR="009814A3" w:rsidRPr="00AD55C1">
        <w:rPr>
          <w:rFonts w:ascii="Verdana" w:hAnsi="Verdana"/>
          <w:sz w:val="18"/>
          <w:szCs w:val="18"/>
          <w:lang w:eastAsia="en-US"/>
        </w:rPr>
        <w:t xml:space="preserve">waarin de samenwerkingsbepalingen tussen toezichthouders </w:t>
      </w:r>
      <w:r w:rsidR="000F7A1E" w:rsidRPr="00AD55C1">
        <w:rPr>
          <w:rFonts w:ascii="Verdana" w:hAnsi="Verdana"/>
          <w:sz w:val="18"/>
          <w:szCs w:val="18"/>
          <w:lang w:eastAsia="en-US"/>
        </w:rPr>
        <w:t xml:space="preserve">zijn </w:t>
      </w:r>
      <w:r w:rsidR="009814A3" w:rsidRPr="00AD55C1">
        <w:rPr>
          <w:rFonts w:ascii="Verdana" w:hAnsi="Verdana"/>
          <w:sz w:val="18"/>
          <w:szCs w:val="18"/>
          <w:lang w:eastAsia="en-US"/>
        </w:rPr>
        <w:t>opgenomen</w:t>
      </w:r>
      <w:r w:rsidR="000F7A1E" w:rsidRPr="00AD55C1">
        <w:rPr>
          <w:rFonts w:ascii="Verdana" w:hAnsi="Verdana"/>
          <w:sz w:val="18"/>
          <w:szCs w:val="18"/>
          <w:lang w:eastAsia="en-US"/>
        </w:rPr>
        <w:t>.</w:t>
      </w:r>
      <w:r w:rsidR="009814A3" w:rsidRPr="00AD55C1">
        <w:rPr>
          <w:rFonts w:ascii="Verdana" w:hAnsi="Verdana"/>
          <w:sz w:val="18"/>
          <w:szCs w:val="18"/>
          <w:lang w:eastAsia="en-US"/>
        </w:rPr>
        <w:t xml:space="preserve"> </w:t>
      </w:r>
      <w:r w:rsidRPr="00AD55C1">
        <w:rPr>
          <w:rFonts w:ascii="Verdana" w:hAnsi="Verdana"/>
          <w:sz w:val="18"/>
          <w:szCs w:val="18"/>
          <w:lang w:eastAsia="en-US"/>
        </w:rPr>
        <w:t xml:space="preserve">Daarnaast </w:t>
      </w:r>
      <w:r w:rsidRPr="00AD55C1">
        <w:rPr>
          <w:rFonts w:ascii="Verdana" w:hAnsi="Verdana"/>
          <w:sz w:val="18"/>
          <w:szCs w:val="18"/>
        </w:rPr>
        <w:t xml:space="preserve">zijn enkele, uitsluitend technische, verbeteringen en een aanpassing van verwijzingen in de Implementatiewet richtlijn solvabiliteit II aangebracht. </w:t>
      </w:r>
      <w:r w:rsidR="00D7782B" w:rsidRPr="00AD55C1">
        <w:rPr>
          <w:rFonts w:ascii="Verdana" w:hAnsi="Verdana"/>
          <w:sz w:val="18"/>
          <w:szCs w:val="18"/>
        </w:rPr>
        <w:t>Wel is er een ingrijpende technische verbetering aangebracht die w</w:t>
      </w:r>
      <w:r w:rsidR="002C30AA" w:rsidRPr="00AD55C1">
        <w:rPr>
          <w:rFonts w:ascii="Verdana" w:hAnsi="Verdana"/>
          <w:sz w:val="18"/>
          <w:szCs w:val="18"/>
        </w:rPr>
        <w:t>ordt toegelicht in paragraaf 5.</w:t>
      </w:r>
    </w:p>
    <w:p w:rsidR="0035076D" w:rsidRPr="00AD55C1" w:rsidRDefault="0035076D" w:rsidP="00AD55C1">
      <w:pPr>
        <w:spacing w:line="260" w:lineRule="exact"/>
        <w:rPr>
          <w:rFonts w:ascii="Verdana" w:hAnsi="Verdana" w:cs="EUAlbertina"/>
          <w:color w:val="000000"/>
          <w:sz w:val="18"/>
          <w:szCs w:val="18"/>
        </w:rPr>
      </w:pPr>
    </w:p>
    <w:p w:rsidR="0035076D" w:rsidRPr="00AD55C1" w:rsidRDefault="00C161A2" w:rsidP="00AD55C1">
      <w:pPr>
        <w:spacing w:line="260" w:lineRule="exact"/>
        <w:rPr>
          <w:rFonts w:ascii="Verdana" w:hAnsi="Verdana"/>
          <w:b/>
          <w:i/>
          <w:sz w:val="18"/>
          <w:szCs w:val="18"/>
        </w:rPr>
      </w:pPr>
      <w:r w:rsidRPr="00AD55C1">
        <w:rPr>
          <w:rFonts w:ascii="Verdana" w:hAnsi="Verdana"/>
          <w:b/>
          <w:i/>
          <w:sz w:val="18"/>
          <w:szCs w:val="18"/>
        </w:rPr>
        <w:t xml:space="preserve">2. </w:t>
      </w:r>
      <w:r w:rsidR="0035076D" w:rsidRPr="00AD55C1">
        <w:rPr>
          <w:rFonts w:ascii="Verdana" w:hAnsi="Verdana"/>
          <w:b/>
          <w:i/>
          <w:sz w:val="18"/>
          <w:szCs w:val="18"/>
        </w:rPr>
        <w:t xml:space="preserve">Opzet van het implementatiewetsvoorstel </w:t>
      </w:r>
      <w:r w:rsidR="0017169E" w:rsidRPr="00AD55C1">
        <w:rPr>
          <w:rFonts w:ascii="Verdana" w:hAnsi="Verdana"/>
          <w:b/>
          <w:i/>
          <w:sz w:val="18"/>
          <w:szCs w:val="18"/>
        </w:rPr>
        <w:t xml:space="preserve">richtlijn </w:t>
      </w:r>
      <w:r w:rsidR="0035076D" w:rsidRPr="00AD55C1">
        <w:rPr>
          <w:rFonts w:ascii="Verdana" w:hAnsi="Verdana"/>
          <w:b/>
          <w:i/>
          <w:sz w:val="18"/>
          <w:szCs w:val="18"/>
        </w:rPr>
        <w:t>omnibus II</w:t>
      </w:r>
    </w:p>
    <w:p w:rsidR="00F041D3" w:rsidRPr="00AD55C1" w:rsidRDefault="00F041D3" w:rsidP="00AD55C1">
      <w:pPr>
        <w:spacing w:line="260" w:lineRule="exact"/>
        <w:rPr>
          <w:rFonts w:ascii="Verdana" w:hAnsi="Verdana"/>
          <w:sz w:val="18"/>
          <w:szCs w:val="18"/>
        </w:rPr>
      </w:pPr>
      <w:r w:rsidRPr="00AD55C1">
        <w:rPr>
          <w:rFonts w:ascii="Verdana" w:hAnsi="Verdana"/>
          <w:sz w:val="18"/>
          <w:szCs w:val="18"/>
        </w:rPr>
        <w:t xml:space="preserve">Het wetsvoorstel bevat wijzigingen van de Implementatiewet richtlijn solvabiliteit II (artikel I) en de Implementatiewet richtlijn financiële conglomeraten I (artikel II). In deze wijzigingen zijn de implementatie van de richtlijn omnibus II alsook herstel van onvolkomenheden in de </w:t>
      </w:r>
      <w:r w:rsidR="0018298F" w:rsidRPr="00AD55C1">
        <w:rPr>
          <w:rFonts w:ascii="Verdana" w:hAnsi="Verdana"/>
          <w:sz w:val="18"/>
          <w:szCs w:val="18"/>
        </w:rPr>
        <w:t>oorspronkelijke</w:t>
      </w:r>
      <w:r w:rsidRPr="00AD55C1">
        <w:rPr>
          <w:rFonts w:ascii="Verdana" w:hAnsi="Verdana"/>
          <w:sz w:val="18"/>
          <w:szCs w:val="18"/>
        </w:rPr>
        <w:t xml:space="preserve"> implementatie van de richtlijn solvabiliteit II vervat.</w:t>
      </w:r>
    </w:p>
    <w:p w:rsidR="00803898" w:rsidRPr="00AD55C1" w:rsidRDefault="00F041D3" w:rsidP="00AD55C1">
      <w:pPr>
        <w:spacing w:line="260" w:lineRule="exact"/>
        <w:rPr>
          <w:rFonts w:ascii="Verdana" w:hAnsi="Verdana"/>
          <w:sz w:val="18"/>
          <w:szCs w:val="18"/>
        </w:rPr>
      </w:pPr>
      <w:r w:rsidRPr="00AD55C1">
        <w:rPr>
          <w:rFonts w:ascii="Verdana" w:hAnsi="Verdana"/>
          <w:sz w:val="18"/>
          <w:szCs w:val="18"/>
        </w:rPr>
        <w:t xml:space="preserve">Hiermee is beoogd te komen tot een volledige implementatie van de richtlijn solvabiliteit II en de richtlijn financiële conglomeraten I, zoals die zijn komen te luiden na de aanpassingen door de Omnibus II-richtlijn, in de respectievelijke implementatiewetten. Dit komt de inzichtelijkheid van de implementatie van beide richtlijnen ten goede. </w:t>
      </w:r>
    </w:p>
    <w:p w:rsidR="00803898" w:rsidRPr="00AD55C1" w:rsidRDefault="00803898" w:rsidP="00AD55C1">
      <w:pPr>
        <w:spacing w:line="260" w:lineRule="exact"/>
        <w:rPr>
          <w:rFonts w:ascii="Verdana" w:hAnsi="Verdana"/>
          <w:sz w:val="18"/>
          <w:szCs w:val="18"/>
        </w:rPr>
      </w:pPr>
      <w:r w:rsidRPr="00AD55C1">
        <w:rPr>
          <w:rFonts w:ascii="Verdana" w:hAnsi="Verdana"/>
          <w:sz w:val="18"/>
          <w:szCs w:val="18"/>
        </w:rPr>
        <w:t xml:space="preserve">Aangezien de Implementatiewet richtlijn solvabiliteit II al enige tijd geleden tot stand is gekomen, zijn enkele wijzigingsopdrachten inmiddels achterhaald door later tot stand gekomen wetten, zoals de Implementatiewet richtlijn financiële conglomeraten I en de Implementatiewet richtlijn en verordening kapitaalvereisten. Hierdoor zijn sommige aanpassingen van de Implementatiewet richtlijn solvabiliteit II overbodig geworden of zijn de aanpassingen niet meer juist. </w:t>
      </w:r>
    </w:p>
    <w:p w:rsidR="00F041D3" w:rsidRPr="00AD55C1" w:rsidRDefault="00F041D3" w:rsidP="00AD55C1">
      <w:pPr>
        <w:spacing w:line="260" w:lineRule="exact"/>
        <w:rPr>
          <w:rFonts w:ascii="Verdana" w:hAnsi="Verdana"/>
          <w:sz w:val="18"/>
          <w:szCs w:val="18"/>
        </w:rPr>
      </w:pPr>
      <w:r w:rsidRPr="00AD55C1">
        <w:rPr>
          <w:rFonts w:ascii="Verdana" w:hAnsi="Verdana"/>
          <w:sz w:val="18"/>
          <w:szCs w:val="18"/>
        </w:rPr>
        <w:t xml:space="preserve">In artikel IV van dit wetsvoorstel is overgangsrecht opgenomen. Artikel V regelt de inwerkingtreding van dit wetsvoorstel. </w:t>
      </w:r>
    </w:p>
    <w:p w:rsidR="00F041D3" w:rsidRPr="00AD55C1" w:rsidRDefault="00F041D3" w:rsidP="00AD55C1">
      <w:pPr>
        <w:spacing w:line="260" w:lineRule="exact"/>
        <w:rPr>
          <w:rFonts w:ascii="Verdana" w:hAnsi="Verdana"/>
          <w:sz w:val="18"/>
          <w:szCs w:val="18"/>
        </w:rPr>
      </w:pPr>
    </w:p>
    <w:p w:rsidR="0035076D" w:rsidRPr="00AD55C1" w:rsidRDefault="002C30AA" w:rsidP="00AD55C1">
      <w:pPr>
        <w:spacing w:line="260" w:lineRule="exact"/>
        <w:rPr>
          <w:rFonts w:ascii="Verdana" w:hAnsi="Verdana"/>
          <w:b/>
          <w:i/>
          <w:sz w:val="18"/>
          <w:szCs w:val="18"/>
        </w:rPr>
      </w:pPr>
      <w:r w:rsidRPr="00AD55C1">
        <w:rPr>
          <w:rFonts w:ascii="Verdana" w:hAnsi="Verdana"/>
          <w:b/>
          <w:i/>
          <w:sz w:val="18"/>
          <w:szCs w:val="18"/>
        </w:rPr>
        <w:t xml:space="preserve">3. </w:t>
      </w:r>
      <w:r w:rsidR="0035076D" w:rsidRPr="00AD55C1">
        <w:rPr>
          <w:rFonts w:ascii="Verdana" w:hAnsi="Verdana"/>
          <w:b/>
          <w:i/>
          <w:sz w:val="18"/>
          <w:szCs w:val="18"/>
        </w:rPr>
        <w:t xml:space="preserve">Inhoud van de </w:t>
      </w:r>
      <w:r w:rsidR="00137ECF" w:rsidRPr="00AD55C1">
        <w:rPr>
          <w:rFonts w:ascii="Verdana" w:hAnsi="Verdana"/>
          <w:b/>
          <w:i/>
          <w:sz w:val="18"/>
          <w:szCs w:val="18"/>
        </w:rPr>
        <w:t>Omnibus II-richtlijn</w:t>
      </w:r>
      <w:r w:rsidR="0035076D" w:rsidRPr="00AD55C1">
        <w:rPr>
          <w:rFonts w:ascii="Verdana" w:hAnsi="Verdana"/>
          <w:b/>
          <w:i/>
          <w:sz w:val="18"/>
          <w:szCs w:val="18"/>
        </w:rPr>
        <w:t xml:space="preserve"> op hoofdlijnen</w:t>
      </w: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De </w:t>
      </w:r>
      <w:r w:rsidR="00137ECF" w:rsidRPr="00AD55C1">
        <w:rPr>
          <w:rFonts w:ascii="Verdana" w:hAnsi="Verdana"/>
          <w:sz w:val="18"/>
          <w:szCs w:val="18"/>
        </w:rPr>
        <w:t>Omnibus II-richtlijn</w:t>
      </w:r>
      <w:r w:rsidRPr="00AD55C1">
        <w:rPr>
          <w:rFonts w:ascii="Verdana" w:hAnsi="Verdana"/>
          <w:sz w:val="18"/>
          <w:szCs w:val="18"/>
        </w:rPr>
        <w:t xml:space="preserve"> bevat op hoofdlijnen de volgende aanpassingen: </w:t>
      </w:r>
    </w:p>
    <w:p w:rsidR="0035076D" w:rsidRPr="00AD55C1" w:rsidRDefault="0035076D" w:rsidP="00AD55C1">
      <w:pPr>
        <w:numPr>
          <w:ilvl w:val="0"/>
          <w:numId w:val="46"/>
        </w:numPr>
        <w:spacing w:line="260" w:lineRule="exact"/>
        <w:ind w:left="0" w:firstLine="0"/>
        <w:rPr>
          <w:rFonts w:ascii="Verdana" w:hAnsi="Verdana"/>
          <w:sz w:val="18"/>
          <w:szCs w:val="18"/>
        </w:rPr>
      </w:pPr>
      <w:r w:rsidRPr="00AD55C1">
        <w:rPr>
          <w:rFonts w:ascii="Verdana" w:hAnsi="Verdana"/>
          <w:sz w:val="18"/>
          <w:szCs w:val="18"/>
        </w:rPr>
        <w:t>de rol van EIOPA</w:t>
      </w:r>
      <w:r w:rsidRPr="00AD55C1">
        <w:rPr>
          <w:rStyle w:val="Voetnootmarkering"/>
          <w:rFonts w:ascii="Verdana" w:hAnsi="Verdana"/>
          <w:sz w:val="18"/>
          <w:szCs w:val="18"/>
        </w:rPr>
        <w:footnoteReference w:id="5"/>
      </w:r>
      <w:r w:rsidRPr="00AD55C1">
        <w:rPr>
          <w:rFonts w:ascii="Verdana" w:hAnsi="Verdana"/>
          <w:sz w:val="18"/>
          <w:szCs w:val="18"/>
        </w:rPr>
        <w:t xml:space="preserve"> in het verzekeringstoezicht en de rol van ESMA</w:t>
      </w:r>
      <w:r w:rsidRPr="00AD55C1">
        <w:rPr>
          <w:rStyle w:val="Voetnootmarkering"/>
          <w:rFonts w:ascii="Verdana" w:hAnsi="Verdana"/>
          <w:sz w:val="18"/>
          <w:szCs w:val="18"/>
        </w:rPr>
        <w:footnoteReference w:id="6"/>
      </w:r>
      <w:r w:rsidRPr="00AD55C1">
        <w:rPr>
          <w:rFonts w:ascii="Verdana" w:hAnsi="Verdana"/>
          <w:sz w:val="18"/>
          <w:szCs w:val="18"/>
        </w:rPr>
        <w:t xml:space="preserve"> in het toezicht op (de informatieverstrekking over) effecten</w:t>
      </w:r>
      <w:r w:rsidRPr="00AD55C1">
        <w:rPr>
          <w:rStyle w:val="Voetnootmarkering"/>
          <w:rFonts w:ascii="Verdana" w:hAnsi="Verdana"/>
          <w:sz w:val="18"/>
          <w:szCs w:val="18"/>
        </w:rPr>
        <w:footnoteReference w:id="7"/>
      </w:r>
      <w:r w:rsidRPr="00AD55C1">
        <w:rPr>
          <w:rFonts w:ascii="Verdana" w:hAnsi="Verdana"/>
          <w:sz w:val="18"/>
          <w:szCs w:val="18"/>
        </w:rPr>
        <w:t xml:space="preserve"> is nader vormgegeven;</w:t>
      </w:r>
    </w:p>
    <w:p w:rsidR="0035076D" w:rsidRPr="00AD55C1" w:rsidRDefault="0035076D" w:rsidP="00AD55C1">
      <w:pPr>
        <w:numPr>
          <w:ilvl w:val="0"/>
          <w:numId w:val="46"/>
        </w:numPr>
        <w:spacing w:line="260" w:lineRule="exact"/>
        <w:ind w:left="0" w:firstLine="0"/>
        <w:rPr>
          <w:rFonts w:ascii="Verdana" w:hAnsi="Verdana"/>
          <w:sz w:val="18"/>
          <w:szCs w:val="18"/>
        </w:rPr>
      </w:pPr>
      <w:r w:rsidRPr="00AD55C1">
        <w:rPr>
          <w:rFonts w:ascii="Verdana" w:hAnsi="Verdana"/>
          <w:sz w:val="18"/>
          <w:szCs w:val="18"/>
        </w:rPr>
        <w:t xml:space="preserve">de richtlijn solvabiliteit II </w:t>
      </w:r>
      <w:r w:rsidR="00442C22" w:rsidRPr="00AD55C1">
        <w:rPr>
          <w:rFonts w:ascii="Verdana" w:hAnsi="Verdana"/>
          <w:sz w:val="18"/>
          <w:szCs w:val="18"/>
        </w:rPr>
        <w:t xml:space="preserve">en de richtlijn prospectus zijn </w:t>
      </w:r>
      <w:r w:rsidRPr="00AD55C1">
        <w:rPr>
          <w:rFonts w:ascii="Verdana" w:hAnsi="Verdana"/>
          <w:sz w:val="18"/>
          <w:szCs w:val="18"/>
        </w:rPr>
        <w:t>aangepast aan de besluitvormingsprocedure zoals deze voortvloeit uit het Verdrag van Lissabon</w:t>
      </w:r>
      <w:r w:rsidRPr="00AD55C1">
        <w:rPr>
          <w:rStyle w:val="Voetnootmarkering"/>
          <w:rFonts w:ascii="Verdana" w:hAnsi="Verdana"/>
          <w:sz w:val="18"/>
          <w:szCs w:val="18"/>
        </w:rPr>
        <w:footnoteReference w:id="8"/>
      </w:r>
      <w:r w:rsidRPr="00AD55C1">
        <w:rPr>
          <w:rFonts w:ascii="Verdana" w:hAnsi="Verdana"/>
          <w:sz w:val="18"/>
          <w:szCs w:val="18"/>
        </w:rPr>
        <w:t>;</w:t>
      </w:r>
    </w:p>
    <w:p w:rsidR="0035076D" w:rsidRPr="00AD55C1" w:rsidRDefault="0035076D" w:rsidP="00AD55C1">
      <w:pPr>
        <w:numPr>
          <w:ilvl w:val="0"/>
          <w:numId w:val="46"/>
        </w:numPr>
        <w:spacing w:line="260" w:lineRule="exact"/>
        <w:ind w:left="0" w:firstLine="0"/>
        <w:rPr>
          <w:rFonts w:ascii="Verdana" w:hAnsi="Verdana"/>
          <w:sz w:val="18"/>
          <w:szCs w:val="18"/>
        </w:rPr>
      </w:pPr>
      <w:r w:rsidRPr="00AD55C1">
        <w:rPr>
          <w:rFonts w:ascii="Verdana" w:hAnsi="Verdana"/>
          <w:sz w:val="18"/>
          <w:szCs w:val="18"/>
        </w:rPr>
        <w:lastRenderedPageBreak/>
        <w:t xml:space="preserve">in de richtlijn solvabiliteit II zijn enkele overgangsbepalingen opgenomen, ook met betrekking tot </w:t>
      </w:r>
      <w:r w:rsidR="005F494D" w:rsidRPr="00AD55C1">
        <w:rPr>
          <w:rFonts w:ascii="Verdana" w:hAnsi="Verdana"/>
          <w:sz w:val="18"/>
          <w:szCs w:val="18"/>
        </w:rPr>
        <w:t>derde</w:t>
      </w:r>
      <w:r w:rsidR="003B0749">
        <w:rPr>
          <w:rFonts w:ascii="Verdana" w:hAnsi="Verdana"/>
          <w:sz w:val="18"/>
          <w:szCs w:val="18"/>
        </w:rPr>
        <w:t xml:space="preserve"> </w:t>
      </w:r>
      <w:r w:rsidR="005F494D" w:rsidRPr="00AD55C1">
        <w:rPr>
          <w:rFonts w:ascii="Verdana" w:hAnsi="Verdana"/>
          <w:sz w:val="18"/>
          <w:szCs w:val="18"/>
        </w:rPr>
        <w:t>landen</w:t>
      </w:r>
      <w:r w:rsidRPr="00AD55C1">
        <w:rPr>
          <w:rFonts w:ascii="Verdana" w:hAnsi="Verdana"/>
          <w:sz w:val="18"/>
          <w:szCs w:val="18"/>
        </w:rPr>
        <w:t>; en</w:t>
      </w:r>
    </w:p>
    <w:p w:rsidR="0035076D" w:rsidRPr="00AD55C1" w:rsidRDefault="0035076D" w:rsidP="00AD55C1">
      <w:pPr>
        <w:numPr>
          <w:ilvl w:val="0"/>
          <w:numId w:val="46"/>
        </w:numPr>
        <w:spacing w:line="260" w:lineRule="exact"/>
        <w:ind w:left="0" w:firstLine="0"/>
        <w:rPr>
          <w:rFonts w:ascii="Verdana" w:hAnsi="Verdana"/>
          <w:sz w:val="18"/>
          <w:szCs w:val="18"/>
        </w:rPr>
      </w:pPr>
      <w:r w:rsidRPr="00AD55C1">
        <w:rPr>
          <w:rFonts w:ascii="Verdana" w:hAnsi="Verdana"/>
          <w:sz w:val="18"/>
          <w:szCs w:val="18"/>
        </w:rPr>
        <w:t>het raamwerk zoals dat voortvloeit uit de richtlijn solvabiliteit II is aangepast met als doel om extreme fluctuaties in de technische voorzieningen te voorkomen en procyclisch investeringsgedrag van verzekeraars tegen te gaan.</w:t>
      </w: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Deze wijzigingen </w:t>
      </w:r>
      <w:r w:rsidR="005F494D" w:rsidRPr="00AD55C1">
        <w:rPr>
          <w:rFonts w:ascii="Verdana" w:hAnsi="Verdana"/>
          <w:sz w:val="18"/>
          <w:szCs w:val="18"/>
        </w:rPr>
        <w:t xml:space="preserve">worden </w:t>
      </w:r>
      <w:r w:rsidRPr="00AD55C1">
        <w:rPr>
          <w:rFonts w:ascii="Verdana" w:hAnsi="Verdana"/>
          <w:sz w:val="18"/>
          <w:szCs w:val="18"/>
        </w:rPr>
        <w:t xml:space="preserve">hierna op hoofdlijnen toegelicht. </w:t>
      </w:r>
    </w:p>
    <w:p w:rsidR="0035076D" w:rsidRPr="00AD55C1" w:rsidRDefault="0035076D" w:rsidP="00AD55C1">
      <w:pPr>
        <w:spacing w:line="260" w:lineRule="exact"/>
        <w:rPr>
          <w:rFonts w:ascii="Verdana" w:hAnsi="Verdana"/>
          <w:sz w:val="18"/>
          <w:szCs w:val="18"/>
        </w:rPr>
      </w:pPr>
    </w:p>
    <w:p w:rsidR="00364D1A" w:rsidRPr="00AD55C1" w:rsidRDefault="00364D1A" w:rsidP="00AD55C1">
      <w:pPr>
        <w:numPr>
          <w:ilvl w:val="0"/>
          <w:numId w:val="58"/>
        </w:numPr>
        <w:spacing w:line="260" w:lineRule="exact"/>
        <w:ind w:left="0" w:firstLine="0"/>
        <w:rPr>
          <w:rFonts w:ascii="Verdana" w:hAnsi="Verdana"/>
          <w:i/>
          <w:sz w:val="18"/>
          <w:szCs w:val="18"/>
        </w:rPr>
      </w:pPr>
      <w:r w:rsidRPr="00AD55C1">
        <w:rPr>
          <w:rFonts w:ascii="Verdana" w:hAnsi="Verdana"/>
          <w:i/>
          <w:sz w:val="18"/>
          <w:szCs w:val="18"/>
        </w:rPr>
        <w:t>Nadere vormgeving rol EIOPA en ESMA</w:t>
      </w: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In de eerste plaats zijn in de </w:t>
      </w:r>
      <w:r w:rsidR="00137ECF" w:rsidRPr="00AD55C1">
        <w:rPr>
          <w:rFonts w:ascii="Verdana" w:hAnsi="Verdana"/>
          <w:sz w:val="18"/>
          <w:szCs w:val="18"/>
        </w:rPr>
        <w:t>Omnibus II-richtlijn</w:t>
      </w:r>
      <w:r w:rsidRPr="00AD55C1">
        <w:rPr>
          <w:rFonts w:ascii="Verdana" w:hAnsi="Verdana"/>
          <w:sz w:val="18"/>
          <w:szCs w:val="18"/>
        </w:rPr>
        <w:t xml:space="preserve"> wijzigingen opgenomen die ervoor moeten zorgen dat EIOPA en ESMA aan hun toezichtstaken handen en voeten kunnen geven. In de verordeningen tot oprichting van EIOPA en ESMA</w:t>
      </w:r>
      <w:r w:rsidRPr="00AD55C1">
        <w:rPr>
          <w:rStyle w:val="Voetnootmarkering"/>
          <w:rFonts w:ascii="Verdana" w:hAnsi="Verdana"/>
          <w:sz w:val="18"/>
          <w:szCs w:val="18"/>
        </w:rPr>
        <w:footnoteReference w:id="9"/>
      </w:r>
      <w:r w:rsidRPr="00AD55C1">
        <w:rPr>
          <w:rFonts w:ascii="Verdana" w:hAnsi="Verdana"/>
          <w:sz w:val="18"/>
          <w:szCs w:val="18"/>
        </w:rPr>
        <w:t xml:space="preserve"> is opgenomen dat deze beide toezichthouders voorstellen voor technische normen kunnen uitwerken voor de gebieden die specifiek in de wetgeving zijn vastgelegd. Deze voorstellen voor technische normen moeten vervolgens aan de Europese Commissie worden voorgelegd voor de vaststelling ervan. Dit laatste volgt uit het Verdrag van Lissabon, waarin de besluitvormingsprocedure voor nieuwe wetgeving op Europees niveau is gedemocratiseerd. In de Europese besluitvormingsprocedures rond wetgeving voorafgaande aan de totstandkoming van het Verdrag van Lissabon had de Raad van ministers in bepaalde besluitvormingsprocedures de bevoegdheid tot het indienen van wijzigingsvoorstellen, terwijl het Europees Parlement alleen de bevoegdheid had om wel of niet in te stemmen. Door het Verdrag van Lissabon is de rol van de Raad van ministers en de rol van het Europees Parlement gelijkwaardig geworden. Voor een uitgebreide toelichting op de oprichting van de Europese toezichthouders, het Europese toezichtsraamwerk en de wijze waarop dit in Nederland geïmplementeerd is, wordt verwezen naar het algemeen deel van de memorie van toelichting </w:t>
      </w:r>
      <w:r w:rsidR="005F494D" w:rsidRPr="00AD55C1">
        <w:rPr>
          <w:rFonts w:ascii="Verdana" w:hAnsi="Verdana"/>
          <w:sz w:val="18"/>
          <w:szCs w:val="18"/>
        </w:rPr>
        <w:t xml:space="preserve">bij de Wet </w:t>
      </w:r>
      <w:r w:rsidR="00C962C3" w:rsidRPr="00AD55C1">
        <w:rPr>
          <w:rFonts w:ascii="Verdana" w:hAnsi="Verdana"/>
          <w:sz w:val="18"/>
          <w:szCs w:val="18"/>
        </w:rPr>
        <w:t>i</w:t>
      </w:r>
      <w:r w:rsidRPr="00AD55C1">
        <w:rPr>
          <w:rFonts w:ascii="Verdana" w:hAnsi="Verdana"/>
          <w:sz w:val="18"/>
          <w:szCs w:val="18"/>
        </w:rPr>
        <w:t>mplementatie</w:t>
      </w:r>
      <w:r w:rsidR="005F494D" w:rsidRPr="00AD55C1">
        <w:rPr>
          <w:rFonts w:ascii="Verdana" w:hAnsi="Verdana"/>
          <w:sz w:val="18"/>
          <w:szCs w:val="18"/>
        </w:rPr>
        <w:t xml:space="preserve"> </w:t>
      </w:r>
      <w:r w:rsidR="00C962C3" w:rsidRPr="00AD55C1">
        <w:rPr>
          <w:rFonts w:ascii="Verdana" w:hAnsi="Verdana"/>
          <w:sz w:val="18"/>
          <w:szCs w:val="18"/>
        </w:rPr>
        <w:t>O</w:t>
      </w:r>
      <w:r w:rsidRPr="00AD55C1">
        <w:rPr>
          <w:rFonts w:ascii="Verdana" w:hAnsi="Verdana"/>
          <w:sz w:val="18"/>
          <w:szCs w:val="18"/>
        </w:rPr>
        <w:t>mnibus I</w:t>
      </w:r>
      <w:r w:rsidR="005F494D" w:rsidRPr="00AD55C1">
        <w:rPr>
          <w:rFonts w:ascii="Verdana" w:hAnsi="Verdana"/>
          <w:sz w:val="18"/>
          <w:szCs w:val="18"/>
        </w:rPr>
        <w:t>-richtlijn</w:t>
      </w:r>
      <w:r w:rsidR="0071428E" w:rsidRPr="00AD55C1">
        <w:rPr>
          <w:rStyle w:val="Voetnootmarkering"/>
          <w:rFonts w:ascii="Verdana" w:hAnsi="Verdana"/>
          <w:sz w:val="18"/>
          <w:szCs w:val="18"/>
        </w:rPr>
        <w:footnoteReference w:id="10"/>
      </w:r>
      <w:r w:rsidRPr="00AD55C1">
        <w:rPr>
          <w:rFonts w:ascii="Verdana" w:hAnsi="Verdana"/>
          <w:sz w:val="18"/>
          <w:szCs w:val="18"/>
        </w:rPr>
        <w:t xml:space="preserve">. In de </w:t>
      </w:r>
      <w:r w:rsidR="00137ECF" w:rsidRPr="00AD55C1">
        <w:rPr>
          <w:rFonts w:ascii="Verdana" w:hAnsi="Verdana"/>
          <w:sz w:val="18"/>
          <w:szCs w:val="18"/>
        </w:rPr>
        <w:t>O</w:t>
      </w:r>
      <w:r w:rsidRPr="00AD55C1">
        <w:rPr>
          <w:rFonts w:ascii="Verdana" w:hAnsi="Verdana"/>
          <w:sz w:val="18"/>
          <w:szCs w:val="18"/>
        </w:rPr>
        <w:t>mnibus I</w:t>
      </w:r>
      <w:r w:rsidR="00137ECF" w:rsidRPr="00AD55C1">
        <w:rPr>
          <w:rFonts w:ascii="Verdana" w:hAnsi="Verdana"/>
          <w:sz w:val="18"/>
          <w:szCs w:val="18"/>
        </w:rPr>
        <w:t xml:space="preserve">-richtlijn </w:t>
      </w:r>
      <w:r w:rsidRPr="00AD55C1">
        <w:rPr>
          <w:rFonts w:ascii="Verdana" w:hAnsi="Verdana"/>
          <w:sz w:val="18"/>
          <w:szCs w:val="18"/>
        </w:rPr>
        <w:t xml:space="preserve">is een aantal richtlijnen al aangepast aan de oprichting van de Europese toezichthouders, waarbij bij de inrichting van de besluitvormingsprocedure rond nieuwe Europese wetgeving rekening is gehouden met de wijzigingen zoals deze zijn aangebracht door het Verdrag van Lissabon. De richtlijn solvabiliteit II en de richtlijn </w:t>
      </w:r>
      <w:r w:rsidR="00442C22" w:rsidRPr="00AD55C1">
        <w:rPr>
          <w:rFonts w:ascii="Verdana" w:hAnsi="Verdana"/>
          <w:sz w:val="18"/>
          <w:szCs w:val="18"/>
        </w:rPr>
        <w:t xml:space="preserve">prospectus </w:t>
      </w:r>
      <w:r w:rsidRPr="00AD55C1">
        <w:rPr>
          <w:rFonts w:ascii="Verdana" w:hAnsi="Verdana"/>
          <w:sz w:val="18"/>
          <w:szCs w:val="18"/>
        </w:rPr>
        <w:t>waren in</w:t>
      </w:r>
      <w:r w:rsidR="0071428E" w:rsidRPr="00AD55C1">
        <w:rPr>
          <w:rFonts w:ascii="Verdana" w:hAnsi="Verdana"/>
          <w:sz w:val="18"/>
          <w:szCs w:val="18"/>
        </w:rPr>
        <w:t xml:space="preserve"> de</w:t>
      </w:r>
      <w:r w:rsidRPr="00AD55C1">
        <w:rPr>
          <w:rFonts w:ascii="Verdana" w:hAnsi="Verdana"/>
          <w:sz w:val="18"/>
          <w:szCs w:val="18"/>
        </w:rPr>
        <w:t xml:space="preserve"> </w:t>
      </w:r>
      <w:r w:rsidR="0071428E" w:rsidRPr="00AD55C1">
        <w:rPr>
          <w:rFonts w:ascii="Verdana" w:hAnsi="Verdana"/>
          <w:sz w:val="18"/>
          <w:szCs w:val="18"/>
        </w:rPr>
        <w:t>O</w:t>
      </w:r>
      <w:r w:rsidRPr="00AD55C1">
        <w:rPr>
          <w:rFonts w:ascii="Verdana" w:hAnsi="Verdana"/>
          <w:sz w:val="18"/>
          <w:szCs w:val="18"/>
        </w:rPr>
        <w:t>mnibus I</w:t>
      </w:r>
      <w:r w:rsidR="0071428E" w:rsidRPr="00AD55C1">
        <w:rPr>
          <w:rFonts w:ascii="Verdana" w:hAnsi="Verdana"/>
          <w:sz w:val="18"/>
          <w:szCs w:val="18"/>
        </w:rPr>
        <w:t>-richtlijn</w:t>
      </w:r>
      <w:r w:rsidRPr="00AD55C1">
        <w:rPr>
          <w:rFonts w:ascii="Verdana" w:hAnsi="Verdana"/>
          <w:sz w:val="18"/>
          <w:szCs w:val="18"/>
        </w:rPr>
        <w:t xml:space="preserve"> nog niet meegenomen. Deze richtlijnen worden nu alsnog gewijzigd door de </w:t>
      </w:r>
      <w:r w:rsidR="00137ECF" w:rsidRPr="00AD55C1">
        <w:rPr>
          <w:rFonts w:ascii="Verdana" w:hAnsi="Verdana"/>
          <w:sz w:val="18"/>
          <w:szCs w:val="18"/>
        </w:rPr>
        <w:t>O</w:t>
      </w:r>
      <w:r w:rsidRPr="00AD55C1">
        <w:rPr>
          <w:rFonts w:ascii="Verdana" w:hAnsi="Verdana"/>
          <w:sz w:val="18"/>
          <w:szCs w:val="18"/>
        </w:rPr>
        <w:t>mnibus II</w:t>
      </w:r>
      <w:r w:rsidR="00137ECF" w:rsidRPr="00AD55C1">
        <w:rPr>
          <w:rFonts w:ascii="Verdana" w:hAnsi="Verdana"/>
          <w:sz w:val="18"/>
          <w:szCs w:val="18"/>
        </w:rPr>
        <w:t>-richtlijn</w:t>
      </w:r>
      <w:r w:rsidRPr="00AD55C1">
        <w:rPr>
          <w:rFonts w:ascii="Verdana" w:hAnsi="Verdana"/>
          <w:sz w:val="18"/>
          <w:szCs w:val="18"/>
        </w:rPr>
        <w:t xml:space="preserve">. </w:t>
      </w:r>
    </w:p>
    <w:p w:rsidR="0035076D" w:rsidRPr="00AD55C1" w:rsidRDefault="0035076D" w:rsidP="00AD55C1">
      <w:pPr>
        <w:spacing w:line="260" w:lineRule="exact"/>
        <w:rPr>
          <w:rFonts w:ascii="Verdana" w:hAnsi="Verdana"/>
          <w:sz w:val="18"/>
          <w:szCs w:val="18"/>
        </w:rPr>
      </w:pP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De technische normen die EIOPA en ESMA kunnen vaststellen, kunnen afhankelijk van het onderwerp bestaan uit technische reguleringsnormen en uit technische uitvoeringsnormen. Technische reguleringsnormen hebben tot doel om door Europees Parlement en Raad goedgekeurde regelgeving verder te ontwikkelen, te specificeren en (op niet-essentiële onderdelen) aan te vullen. </w:t>
      </w:r>
      <w:r w:rsidRPr="00AD55C1">
        <w:rPr>
          <w:rFonts w:ascii="Verdana" w:hAnsi="Verdana"/>
          <w:sz w:val="18"/>
          <w:szCs w:val="18"/>
        </w:rPr>
        <w:lastRenderedPageBreak/>
        <w:t>Technische uitvoeringsnormen hebben tot doel meer uniformiteit te brengen in de toepassing van regelgeving.</w:t>
      </w:r>
    </w:p>
    <w:p w:rsidR="0035076D" w:rsidRPr="00AD55C1" w:rsidRDefault="0035076D" w:rsidP="00AD55C1">
      <w:pPr>
        <w:spacing w:line="260" w:lineRule="exact"/>
        <w:rPr>
          <w:rFonts w:ascii="Verdana" w:hAnsi="Verdana"/>
          <w:sz w:val="18"/>
          <w:szCs w:val="18"/>
        </w:rPr>
      </w:pP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Naast de mogelijkheid om technische normen vast te stellen, krijgt EIOPA ook de bevoegdheid om waar nodig nationale toezichthouders bij te staan in situaties waarin samenwerking, coördinatie of gezamenlijke besluitvorming door de nationale toezichthouders van meer dan één lidstaat is vereist. Het gaat daarbij met name over het toezicht op lidstaatoverschrijdende verzekeringsgroepen. Daarbij past ook de bevoegdheid voor EIOPA om waar nodig meningsverschillen tussen toezichthouders in der minne te schikken. </w:t>
      </w:r>
    </w:p>
    <w:p w:rsidR="0035076D" w:rsidRPr="00AD55C1" w:rsidRDefault="0035076D" w:rsidP="00AD55C1">
      <w:pPr>
        <w:spacing w:line="260" w:lineRule="exact"/>
        <w:rPr>
          <w:rFonts w:ascii="Verdana" w:hAnsi="Verdana"/>
          <w:sz w:val="18"/>
          <w:szCs w:val="18"/>
        </w:rPr>
      </w:pPr>
    </w:p>
    <w:p w:rsidR="00364D1A" w:rsidRPr="00AD55C1" w:rsidRDefault="0035076D" w:rsidP="00AD55C1">
      <w:pPr>
        <w:tabs>
          <w:tab w:val="left" w:pos="426"/>
        </w:tabs>
        <w:spacing w:line="260" w:lineRule="exact"/>
        <w:rPr>
          <w:rFonts w:ascii="Verdana" w:hAnsi="Verdana"/>
          <w:i/>
          <w:sz w:val="18"/>
          <w:szCs w:val="18"/>
        </w:rPr>
      </w:pPr>
      <w:r w:rsidRPr="00AD55C1">
        <w:rPr>
          <w:rFonts w:ascii="Verdana" w:hAnsi="Verdana"/>
          <w:i/>
          <w:sz w:val="18"/>
          <w:szCs w:val="18"/>
        </w:rPr>
        <w:t xml:space="preserve">(b) </w:t>
      </w:r>
      <w:r w:rsidR="00364D1A" w:rsidRPr="00AD55C1">
        <w:rPr>
          <w:rFonts w:ascii="Verdana" w:hAnsi="Verdana"/>
          <w:i/>
          <w:sz w:val="18"/>
          <w:szCs w:val="18"/>
        </w:rPr>
        <w:t xml:space="preserve"> </w:t>
      </w:r>
      <w:r w:rsidR="003B0749">
        <w:rPr>
          <w:rFonts w:ascii="Verdana" w:hAnsi="Verdana"/>
          <w:i/>
          <w:sz w:val="18"/>
          <w:szCs w:val="18"/>
        </w:rPr>
        <w:t>B</w:t>
      </w:r>
      <w:r w:rsidR="00364D1A" w:rsidRPr="00AD55C1">
        <w:rPr>
          <w:rFonts w:ascii="Verdana" w:hAnsi="Verdana"/>
          <w:i/>
          <w:sz w:val="18"/>
          <w:szCs w:val="18"/>
        </w:rPr>
        <w:t>esluitvormingsprocedure Verdrag van Lissabon</w:t>
      </w:r>
    </w:p>
    <w:p w:rsidR="0035076D" w:rsidRPr="00AD55C1" w:rsidRDefault="0035076D" w:rsidP="00AD55C1">
      <w:pPr>
        <w:tabs>
          <w:tab w:val="left" w:pos="426"/>
        </w:tabs>
        <w:spacing w:line="260" w:lineRule="exact"/>
        <w:rPr>
          <w:rFonts w:ascii="Verdana" w:hAnsi="Verdana"/>
          <w:sz w:val="18"/>
          <w:szCs w:val="18"/>
        </w:rPr>
      </w:pPr>
      <w:r w:rsidRPr="00AD55C1">
        <w:rPr>
          <w:rFonts w:ascii="Verdana" w:hAnsi="Verdana"/>
          <w:sz w:val="18"/>
          <w:szCs w:val="18"/>
        </w:rPr>
        <w:t xml:space="preserve">In de tweede plaats amendeert de </w:t>
      </w:r>
      <w:r w:rsidR="00137ECF" w:rsidRPr="00AD55C1">
        <w:rPr>
          <w:rFonts w:ascii="Verdana" w:hAnsi="Verdana"/>
          <w:sz w:val="18"/>
          <w:szCs w:val="18"/>
        </w:rPr>
        <w:t>O</w:t>
      </w:r>
      <w:r w:rsidRPr="00AD55C1">
        <w:rPr>
          <w:rFonts w:ascii="Verdana" w:hAnsi="Verdana"/>
          <w:sz w:val="18"/>
          <w:szCs w:val="18"/>
        </w:rPr>
        <w:t>mnibus II</w:t>
      </w:r>
      <w:r w:rsidR="00137ECF" w:rsidRPr="00AD55C1">
        <w:rPr>
          <w:rFonts w:ascii="Verdana" w:hAnsi="Verdana"/>
          <w:sz w:val="18"/>
          <w:szCs w:val="18"/>
        </w:rPr>
        <w:t xml:space="preserve">-richtlijn </w:t>
      </w:r>
      <w:r w:rsidRPr="00AD55C1">
        <w:rPr>
          <w:rFonts w:ascii="Verdana" w:hAnsi="Verdana"/>
          <w:sz w:val="18"/>
          <w:szCs w:val="18"/>
        </w:rPr>
        <w:t xml:space="preserve">de richtlijn solvabiliteit II op het punt van de te hanteren besluitvormingsprocedures bij wetgeving. Op gebieden waarop de Europese Commissie volgens de richtlijn solvabiliteit II bevoegd was om uitvoeringsmaatregelen vast te stellen, is aan de Europese Commissie de bevoegdheid verleend om gedelegeerde handelingen of technische reguleringsnormen vast te stellen. Dit voor zover het om niet-wetgevingshandelingen gaat en de uitvoeringsmaatregelen van algemene strekking zijn ter aanvulling of wijziging van bepaalde niet-essentiële onderdelen van de richtlijn. Gedelegeerde handelingen worden door de Europese Commissie met name vastgesteld om nadere invulling te geven aan vereisten inzake governance, waardering, rapportage aan de toezichthoudende autoriteit en publicatie, de vaststelling en indeling van het eigen vermogen, de standaardformule voor de berekening van het solvabiliteitskapitaalvereiste (met inbegrip van eventuele daaruit voortvloeiende wijzigingen wat betreft kapitaalopslagen) en de keuze van methoden en aannames voor de berekening van technische voorzieningen. </w:t>
      </w:r>
    </w:p>
    <w:p w:rsidR="0035076D" w:rsidRPr="00AD55C1" w:rsidRDefault="0035076D" w:rsidP="00AD55C1">
      <w:pPr>
        <w:spacing w:line="260" w:lineRule="exact"/>
        <w:rPr>
          <w:rFonts w:ascii="Verdana" w:hAnsi="Verdana"/>
          <w:sz w:val="18"/>
          <w:szCs w:val="18"/>
        </w:rPr>
      </w:pPr>
    </w:p>
    <w:p w:rsidR="00364D1A" w:rsidRPr="00AD55C1" w:rsidRDefault="00364D1A" w:rsidP="00AD55C1">
      <w:pPr>
        <w:tabs>
          <w:tab w:val="left" w:pos="426"/>
        </w:tabs>
        <w:spacing w:line="260" w:lineRule="exact"/>
        <w:rPr>
          <w:rFonts w:ascii="Verdana" w:hAnsi="Verdana"/>
          <w:i/>
          <w:sz w:val="18"/>
          <w:szCs w:val="18"/>
        </w:rPr>
      </w:pPr>
      <w:r w:rsidRPr="00AD55C1">
        <w:rPr>
          <w:rFonts w:ascii="Verdana" w:hAnsi="Verdana"/>
          <w:i/>
          <w:sz w:val="18"/>
          <w:szCs w:val="18"/>
        </w:rPr>
        <w:t>(c)</w:t>
      </w:r>
      <w:r w:rsidR="0035076D" w:rsidRPr="00AD55C1">
        <w:rPr>
          <w:rFonts w:ascii="Verdana" w:hAnsi="Verdana"/>
          <w:i/>
          <w:sz w:val="18"/>
          <w:szCs w:val="18"/>
        </w:rPr>
        <w:t xml:space="preserve"> </w:t>
      </w:r>
      <w:r w:rsidRPr="00AD55C1">
        <w:rPr>
          <w:rFonts w:ascii="Verdana" w:hAnsi="Verdana"/>
          <w:i/>
          <w:sz w:val="18"/>
          <w:szCs w:val="18"/>
        </w:rPr>
        <w:t>Aanvulling overgangsrecht richtlijn solvabiliteit II</w:t>
      </w:r>
    </w:p>
    <w:p w:rsidR="0035076D" w:rsidRPr="00AD55C1" w:rsidRDefault="0035076D" w:rsidP="00AD55C1">
      <w:pPr>
        <w:tabs>
          <w:tab w:val="left" w:pos="426"/>
        </w:tabs>
        <w:spacing w:line="260" w:lineRule="exact"/>
        <w:rPr>
          <w:rFonts w:ascii="Verdana" w:hAnsi="Verdana"/>
          <w:sz w:val="18"/>
          <w:szCs w:val="18"/>
        </w:rPr>
      </w:pPr>
      <w:r w:rsidRPr="00AD55C1">
        <w:rPr>
          <w:rFonts w:ascii="Verdana" w:hAnsi="Verdana"/>
          <w:sz w:val="18"/>
          <w:szCs w:val="18"/>
        </w:rPr>
        <w:t>In de derde plaats zijn enkele overgangsmaatregelen toegevoegd om verzekeraars soepeler te kunnen laten instromen in het regime dat voortvloeit uit de richtlijn solvabiliteit II. Het betreft de volgende overgangsmaatregelen:</w:t>
      </w:r>
    </w:p>
    <w:p w:rsidR="0035076D" w:rsidRPr="00AD55C1" w:rsidRDefault="005F494D" w:rsidP="00AD55C1">
      <w:pPr>
        <w:tabs>
          <w:tab w:val="left" w:pos="426"/>
        </w:tabs>
        <w:spacing w:line="260" w:lineRule="exact"/>
        <w:rPr>
          <w:rFonts w:ascii="Verdana" w:hAnsi="Verdana"/>
          <w:sz w:val="18"/>
          <w:szCs w:val="18"/>
        </w:rPr>
      </w:pPr>
      <w:r w:rsidRPr="00AD55C1">
        <w:rPr>
          <w:rFonts w:ascii="Verdana" w:hAnsi="Verdana"/>
          <w:sz w:val="18"/>
          <w:szCs w:val="18"/>
        </w:rPr>
        <w:t>Derde</w:t>
      </w:r>
      <w:r w:rsidR="00745855">
        <w:rPr>
          <w:rFonts w:ascii="Verdana" w:hAnsi="Verdana"/>
          <w:sz w:val="18"/>
          <w:szCs w:val="18"/>
        </w:rPr>
        <w:t xml:space="preserve"> </w:t>
      </w:r>
      <w:r w:rsidRPr="00AD55C1">
        <w:rPr>
          <w:rFonts w:ascii="Verdana" w:hAnsi="Verdana"/>
          <w:sz w:val="18"/>
          <w:szCs w:val="18"/>
        </w:rPr>
        <w:t>landen</w:t>
      </w:r>
      <w:r w:rsidR="0035076D" w:rsidRPr="00AD55C1">
        <w:rPr>
          <w:rFonts w:ascii="Verdana" w:hAnsi="Verdana"/>
          <w:sz w:val="18"/>
          <w:szCs w:val="18"/>
        </w:rPr>
        <w:t xml:space="preserve"> hebben mogelijk meer tijd nodig om hun toezichtsregelingen aan te passen om door de Europese Commissie aangewezen te kunnen worden als land waarin een gelijkwaardig regime van toepassing is. Om </w:t>
      </w:r>
      <w:r w:rsidRPr="00AD55C1">
        <w:rPr>
          <w:rFonts w:ascii="Verdana" w:hAnsi="Verdana"/>
          <w:sz w:val="18"/>
          <w:szCs w:val="18"/>
        </w:rPr>
        <w:t>derde</w:t>
      </w:r>
      <w:r w:rsidR="003B0749">
        <w:rPr>
          <w:rFonts w:ascii="Verdana" w:hAnsi="Verdana"/>
          <w:sz w:val="18"/>
          <w:szCs w:val="18"/>
        </w:rPr>
        <w:t xml:space="preserve"> </w:t>
      </w:r>
      <w:r w:rsidRPr="00AD55C1">
        <w:rPr>
          <w:rFonts w:ascii="Verdana" w:hAnsi="Verdana"/>
          <w:sz w:val="18"/>
          <w:szCs w:val="18"/>
        </w:rPr>
        <w:t>landen</w:t>
      </w:r>
      <w:r w:rsidR="0035076D" w:rsidRPr="00AD55C1">
        <w:rPr>
          <w:rFonts w:ascii="Verdana" w:hAnsi="Verdana"/>
          <w:sz w:val="18"/>
          <w:szCs w:val="18"/>
        </w:rPr>
        <w:t xml:space="preserve"> hiervoor meer tijd te gunnen, </w:t>
      </w:r>
      <w:r w:rsidR="003B0749">
        <w:rPr>
          <w:rFonts w:ascii="Verdana" w:hAnsi="Verdana"/>
          <w:sz w:val="18"/>
          <w:szCs w:val="18"/>
        </w:rPr>
        <w:t xml:space="preserve">bepaalt de richtlijn </w:t>
      </w:r>
      <w:r w:rsidR="0035076D" w:rsidRPr="00AD55C1">
        <w:rPr>
          <w:rFonts w:ascii="Verdana" w:hAnsi="Verdana"/>
          <w:sz w:val="18"/>
          <w:szCs w:val="18"/>
        </w:rPr>
        <w:t>dat de Europese Commissie</w:t>
      </w:r>
      <w:r w:rsidR="00896909" w:rsidRPr="00AD55C1">
        <w:rPr>
          <w:rFonts w:ascii="Verdana" w:hAnsi="Verdana"/>
          <w:sz w:val="18"/>
          <w:szCs w:val="18"/>
        </w:rPr>
        <w:t xml:space="preserve"> voorwaarden specificeert, waarbij</w:t>
      </w:r>
      <w:r w:rsidR="0035076D" w:rsidRPr="00AD55C1">
        <w:rPr>
          <w:rFonts w:ascii="Verdana" w:hAnsi="Verdana"/>
          <w:sz w:val="18"/>
          <w:szCs w:val="18"/>
        </w:rPr>
        <w:t xml:space="preserve"> de regelingen van </w:t>
      </w:r>
      <w:r w:rsidRPr="00AD55C1">
        <w:rPr>
          <w:rFonts w:ascii="Verdana" w:hAnsi="Verdana"/>
          <w:sz w:val="18"/>
          <w:szCs w:val="18"/>
        </w:rPr>
        <w:t>derde</w:t>
      </w:r>
      <w:r w:rsidR="00745855">
        <w:rPr>
          <w:rFonts w:ascii="Verdana" w:hAnsi="Verdana"/>
          <w:sz w:val="18"/>
          <w:szCs w:val="18"/>
        </w:rPr>
        <w:t xml:space="preserve"> </w:t>
      </w:r>
      <w:r w:rsidRPr="00AD55C1">
        <w:rPr>
          <w:rFonts w:ascii="Verdana" w:hAnsi="Verdana"/>
          <w:sz w:val="18"/>
          <w:szCs w:val="18"/>
        </w:rPr>
        <w:t>landen</w:t>
      </w:r>
      <w:r w:rsidR="0035076D" w:rsidRPr="00AD55C1">
        <w:rPr>
          <w:rFonts w:ascii="Verdana" w:hAnsi="Verdana"/>
          <w:sz w:val="18"/>
          <w:szCs w:val="18"/>
        </w:rPr>
        <w:t xml:space="preserve"> tijdelijk als gelijkwaardige regeling worden erkend. </w:t>
      </w:r>
    </w:p>
    <w:p w:rsidR="0035076D" w:rsidRPr="00AD55C1" w:rsidRDefault="0035076D" w:rsidP="00AD55C1">
      <w:pPr>
        <w:tabs>
          <w:tab w:val="left" w:pos="426"/>
        </w:tabs>
        <w:spacing w:line="260" w:lineRule="exact"/>
        <w:rPr>
          <w:rFonts w:ascii="Verdana" w:hAnsi="Verdana"/>
          <w:sz w:val="18"/>
          <w:szCs w:val="18"/>
        </w:rPr>
      </w:pPr>
      <w:r w:rsidRPr="00AD55C1">
        <w:rPr>
          <w:rFonts w:ascii="Verdana" w:hAnsi="Verdana"/>
          <w:sz w:val="18"/>
          <w:szCs w:val="18"/>
        </w:rPr>
        <w:t xml:space="preserve">Daarnaast worden enkele overgangsmaatregelen ingevoegd in de richtlijn solvabiliteit II die moeten zorgen voor een meer geleidelijke overgang naar het toezichtsregime dat uit die richtlijn voortvloeit. Zo zijn in het solvabiliteit II- regime de criteria voor hybride kapitaalinstrumenten die meegeteld mogen worden bij de berekeningen van de solvabiliteit, aangescherpt. In </w:t>
      </w:r>
      <w:r w:rsidR="00896909" w:rsidRPr="00AD55C1">
        <w:rPr>
          <w:rFonts w:ascii="Verdana" w:hAnsi="Verdana"/>
          <w:sz w:val="18"/>
          <w:szCs w:val="18"/>
        </w:rPr>
        <w:t xml:space="preserve">de </w:t>
      </w:r>
      <w:r w:rsidR="00137ECF" w:rsidRPr="00AD55C1">
        <w:rPr>
          <w:rFonts w:ascii="Verdana" w:hAnsi="Verdana"/>
          <w:sz w:val="18"/>
          <w:szCs w:val="18"/>
        </w:rPr>
        <w:t>O</w:t>
      </w:r>
      <w:r w:rsidRPr="00AD55C1">
        <w:rPr>
          <w:rFonts w:ascii="Verdana" w:hAnsi="Verdana"/>
          <w:sz w:val="18"/>
          <w:szCs w:val="18"/>
        </w:rPr>
        <w:t>mnibus II</w:t>
      </w:r>
      <w:r w:rsidR="00137ECF" w:rsidRPr="00AD55C1">
        <w:rPr>
          <w:rFonts w:ascii="Verdana" w:hAnsi="Verdana"/>
          <w:sz w:val="18"/>
          <w:szCs w:val="18"/>
        </w:rPr>
        <w:t xml:space="preserve">-richtlijn </w:t>
      </w:r>
      <w:r w:rsidRPr="00AD55C1">
        <w:rPr>
          <w:rFonts w:ascii="Verdana" w:hAnsi="Verdana"/>
          <w:sz w:val="18"/>
          <w:szCs w:val="18"/>
        </w:rPr>
        <w:t xml:space="preserve">is opgenomen dat verzekeraars van wie de hybride kapitaalinstrumenten (nog) niet aan die eisen voldoen onder voorwaarden nog tien jaar deze hybride kapitaalinstrumenten mogen gebruiken voor de berekening van de solvabiliteit. Zonder deze overgangsmaatregel zouden alle verzekeraars vlak voor de inwerkingtreding van de richtlijn solvabiliteit II nieuw hybride kapitaal moeten gaan aantrekken. Verder is het onder restricties toegestaan om bij de inwerkingtreding van de richtlijn solvabiliteit II nog niet </w:t>
      </w:r>
      <w:r w:rsidR="003B0749">
        <w:rPr>
          <w:rFonts w:ascii="Verdana" w:hAnsi="Verdana"/>
          <w:sz w:val="18"/>
          <w:szCs w:val="18"/>
        </w:rPr>
        <w:t xml:space="preserve">meteen </w:t>
      </w:r>
      <w:r w:rsidRPr="00AD55C1">
        <w:rPr>
          <w:rFonts w:ascii="Verdana" w:hAnsi="Verdana"/>
          <w:sz w:val="18"/>
          <w:szCs w:val="18"/>
        </w:rPr>
        <w:t xml:space="preserve">te voldoen aan het solvabiliteitskapitaalvereiste. </w:t>
      </w:r>
    </w:p>
    <w:p w:rsidR="0035076D" w:rsidRPr="00AD55C1" w:rsidRDefault="0035076D" w:rsidP="00AD55C1">
      <w:pPr>
        <w:tabs>
          <w:tab w:val="left" w:pos="426"/>
        </w:tabs>
        <w:spacing w:line="260" w:lineRule="exact"/>
        <w:rPr>
          <w:rFonts w:ascii="Verdana" w:hAnsi="Verdana"/>
          <w:sz w:val="18"/>
          <w:szCs w:val="18"/>
        </w:rPr>
      </w:pPr>
      <w:r w:rsidRPr="00AD55C1">
        <w:rPr>
          <w:rFonts w:ascii="Verdana" w:hAnsi="Verdana"/>
          <w:sz w:val="18"/>
          <w:szCs w:val="18"/>
        </w:rPr>
        <w:lastRenderedPageBreak/>
        <w:t xml:space="preserve">Voornoemde overgangsmaatregelen zijn gericht op het voorkomen van marktverstoring, het beperken van nadelige gevolgen voor bestaande producten en de beschikbaarheid van verzekeringsproducten. De overgangsmaatregelen zijn er op gericht om verzekeraars aan te moedigen zo snel mogelijk te voldoen aan de vereisten van het raamwerk zoals dat wordt neergezet door de richtlijn solvabiliteit II. </w:t>
      </w:r>
    </w:p>
    <w:p w:rsidR="0035076D" w:rsidRPr="00AD55C1" w:rsidRDefault="0035076D" w:rsidP="00AD55C1">
      <w:pPr>
        <w:tabs>
          <w:tab w:val="left" w:pos="426"/>
        </w:tabs>
        <w:spacing w:line="260" w:lineRule="exact"/>
        <w:rPr>
          <w:rFonts w:ascii="Verdana" w:hAnsi="Verdana"/>
          <w:i/>
          <w:sz w:val="18"/>
          <w:szCs w:val="18"/>
        </w:rPr>
      </w:pPr>
    </w:p>
    <w:p w:rsidR="00364D1A" w:rsidRPr="00AD55C1" w:rsidRDefault="0035076D" w:rsidP="00AD55C1">
      <w:pPr>
        <w:tabs>
          <w:tab w:val="left" w:pos="426"/>
        </w:tabs>
        <w:spacing w:line="260" w:lineRule="exact"/>
        <w:rPr>
          <w:rFonts w:ascii="Verdana" w:hAnsi="Verdana"/>
          <w:i/>
          <w:sz w:val="18"/>
          <w:szCs w:val="18"/>
        </w:rPr>
      </w:pPr>
      <w:r w:rsidRPr="00AD55C1">
        <w:rPr>
          <w:rFonts w:ascii="Verdana" w:hAnsi="Verdana"/>
          <w:i/>
          <w:sz w:val="18"/>
          <w:szCs w:val="18"/>
        </w:rPr>
        <w:t xml:space="preserve">(d) </w:t>
      </w:r>
      <w:r w:rsidR="003B0749">
        <w:rPr>
          <w:rFonts w:ascii="Verdana" w:hAnsi="Verdana"/>
          <w:i/>
          <w:sz w:val="18"/>
          <w:szCs w:val="18"/>
        </w:rPr>
        <w:t>V</w:t>
      </w:r>
      <w:r w:rsidR="00364D1A" w:rsidRPr="00AD55C1">
        <w:rPr>
          <w:rFonts w:ascii="Verdana" w:hAnsi="Verdana"/>
          <w:i/>
          <w:sz w:val="18"/>
          <w:szCs w:val="18"/>
        </w:rPr>
        <w:t>erminderen procycliciteit toezichtsraamwerk richtlijn solvabiliteit II</w:t>
      </w:r>
    </w:p>
    <w:p w:rsidR="0035076D" w:rsidRPr="00AD55C1" w:rsidRDefault="0035076D" w:rsidP="00AD55C1">
      <w:pPr>
        <w:tabs>
          <w:tab w:val="left" w:pos="426"/>
        </w:tabs>
        <w:spacing w:line="260" w:lineRule="exact"/>
        <w:rPr>
          <w:rFonts w:ascii="Verdana" w:hAnsi="Verdana"/>
          <w:sz w:val="18"/>
          <w:szCs w:val="18"/>
        </w:rPr>
      </w:pPr>
      <w:r w:rsidRPr="00AD55C1">
        <w:rPr>
          <w:rFonts w:ascii="Verdana" w:hAnsi="Verdana"/>
          <w:sz w:val="18"/>
          <w:szCs w:val="18"/>
        </w:rPr>
        <w:t xml:space="preserve">Tot slot brengt de </w:t>
      </w:r>
      <w:r w:rsidR="00137ECF" w:rsidRPr="00AD55C1">
        <w:rPr>
          <w:rFonts w:ascii="Verdana" w:hAnsi="Verdana"/>
          <w:sz w:val="18"/>
          <w:szCs w:val="18"/>
        </w:rPr>
        <w:t>Omnibus II-richtlijn</w:t>
      </w:r>
      <w:r w:rsidRPr="00AD55C1">
        <w:rPr>
          <w:rFonts w:ascii="Verdana" w:hAnsi="Verdana"/>
          <w:sz w:val="18"/>
          <w:szCs w:val="18"/>
        </w:rPr>
        <w:t xml:space="preserve"> wijzigingen aan in de richtlijn solvabiliteit II die tot doel hebben om het toezichtsraamwerk minder procyclisch te maken. Het betreft hier allereerst de invoering van de matchingopslag en de volatiliteitsaanpassing. De matchingopslag kan worden toegepast wanneer de kasstromen van de verzekeringsverplichtingen precies worden afgestemd op kasstromen van de bijbehorende activa. Deze activa mogen in dat geval in beginsel niet worden verkocht. Het voordeel van matching is dat bij de bepaling van het eigen vermogen geen rekening hoeft te worden gehouden met de extreme marktschommelingen in de waarde van die activa en passiva. Dit moet kunstmatige volatiliteit van de activa en het eigen vermogen tegengaan en een stimulans zijn voor goed risicobeheer. Verzekeraars en herverzekeraars zijn overigens verplicht om vooraf toestemming te verkrijgen van DNB voor het toepassen van de matchingopslag</w:t>
      </w:r>
      <w:r w:rsidR="00896909" w:rsidRPr="00AD55C1">
        <w:rPr>
          <w:rFonts w:ascii="Verdana" w:hAnsi="Verdana"/>
          <w:sz w:val="18"/>
          <w:szCs w:val="18"/>
        </w:rPr>
        <w:t xml:space="preserve">. Ook moeten zij </w:t>
      </w:r>
      <w:r w:rsidRPr="00AD55C1">
        <w:rPr>
          <w:rFonts w:ascii="Verdana" w:hAnsi="Verdana"/>
          <w:sz w:val="18"/>
          <w:szCs w:val="18"/>
        </w:rPr>
        <w:t>het effect ervan op hun financiële positie openbaar maken. Daarnaast mogen verzekeraars en herverzekeraars gebruik maken van een volatiliteitsaanpassing</w:t>
      </w:r>
      <w:r w:rsidR="0018298F">
        <w:rPr>
          <w:rFonts w:ascii="Verdana" w:hAnsi="Verdana"/>
          <w:sz w:val="18"/>
          <w:szCs w:val="18"/>
        </w:rPr>
        <w:t xml:space="preserve">. </w:t>
      </w:r>
      <w:r w:rsidR="00707A53" w:rsidRPr="00AD55C1">
        <w:rPr>
          <w:rFonts w:ascii="Verdana" w:hAnsi="Verdana"/>
          <w:sz w:val="18"/>
          <w:szCs w:val="18"/>
        </w:rPr>
        <w:t xml:space="preserve">Dit houdt een aanpassing in van de risicovrije rentetermijnstructuur. Bij de berekening van de technische voorzieningen mag de verzekeraar rekenen met de opgehoogde risicovrije rentetermijnstructuur. </w:t>
      </w:r>
      <w:r w:rsidRPr="00AD55C1">
        <w:rPr>
          <w:rFonts w:ascii="Verdana" w:hAnsi="Verdana"/>
          <w:sz w:val="18"/>
          <w:szCs w:val="18"/>
        </w:rPr>
        <w:t xml:space="preserve">De volatiliteitsaanpassing heeft eveneens als doel om kunstmatige volatiliteit in het eigen vermogen tegen te gaan en moet procyclisch investeringsgedrag voorkomen. Ook het effect van het gebruik van de volatiliteitsaanpassing op de financiële positie van de verzekeraar moet openbaar gemaakt worden om zo voldoende transparantie te waarborgen. </w:t>
      </w:r>
    </w:p>
    <w:p w:rsidR="0035076D" w:rsidRPr="00AD55C1" w:rsidRDefault="0035076D" w:rsidP="00AD55C1">
      <w:pPr>
        <w:tabs>
          <w:tab w:val="left" w:pos="426"/>
        </w:tabs>
        <w:spacing w:line="260" w:lineRule="exact"/>
        <w:rPr>
          <w:rFonts w:ascii="Verdana" w:hAnsi="Verdana"/>
          <w:sz w:val="18"/>
          <w:szCs w:val="18"/>
        </w:rPr>
      </w:pPr>
      <w:r w:rsidRPr="00AD55C1">
        <w:rPr>
          <w:rFonts w:ascii="Verdana" w:hAnsi="Verdana"/>
          <w:sz w:val="18"/>
          <w:szCs w:val="18"/>
        </w:rPr>
        <w:t xml:space="preserve">Daarnaast wordt ingevoerd dat de periode voor herstel van niet-naleving van het solvabiliteitskapitaalvereiste wordt verlengd ingeval sprake is van ongunstige marktomstandigheden. Naast een scherpe daling op de financiële markten kunnen deze omstandigheden na implementatie van de </w:t>
      </w:r>
      <w:r w:rsidR="00137ECF" w:rsidRPr="00AD55C1">
        <w:rPr>
          <w:rFonts w:ascii="Verdana" w:hAnsi="Verdana"/>
          <w:sz w:val="18"/>
          <w:szCs w:val="18"/>
        </w:rPr>
        <w:t>O</w:t>
      </w:r>
      <w:r w:rsidRPr="00AD55C1">
        <w:rPr>
          <w:rFonts w:ascii="Verdana" w:hAnsi="Verdana"/>
          <w:sz w:val="18"/>
          <w:szCs w:val="18"/>
        </w:rPr>
        <w:t>mnibus II</w:t>
      </w:r>
      <w:r w:rsidR="00137ECF" w:rsidRPr="00AD55C1">
        <w:rPr>
          <w:rFonts w:ascii="Verdana" w:hAnsi="Verdana"/>
          <w:sz w:val="18"/>
          <w:szCs w:val="18"/>
        </w:rPr>
        <w:t xml:space="preserve">-richtlijn </w:t>
      </w:r>
      <w:r w:rsidRPr="00AD55C1">
        <w:rPr>
          <w:rFonts w:ascii="Verdana" w:hAnsi="Verdana"/>
          <w:sz w:val="18"/>
          <w:szCs w:val="18"/>
        </w:rPr>
        <w:t>ook bestaan uit een omgeving met een aanhoudende lage rentevoet of een ramp met grote gevolgen. Belangrijk is dat het aan EIOPA is om te verklaren dat er sprake is van een ongunstige omstandigheid.</w:t>
      </w:r>
    </w:p>
    <w:p w:rsidR="0000350F" w:rsidRPr="00AD55C1" w:rsidRDefault="0000350F" w:rsidP="00AD55C1">
      <w:pPr>
        <w:spacing w:line="260" w:lineRule="exact"/>
        <w:rPr>
          <w:rFonts w:ascii="Verdana" w:hAnsi="Verdana"/>
          <w:sz w:val="18"/>
          <w:szCs w:val="18"/>
        </w:rPr>
      </w:pPr>
    </w:p>
    <w:p w:rsidR="0035076D" w:rsidRPr="00AD55C1" w:rsidRDefault="0000350F" w:rsidP="00AD55C1">
      <w:pPr>
        <w:spacing w:line="260" w:lineRule="exact"/>
        <w:rPr>
          <w:rFonts w:ascii="Verdana" w:hAnsi="Verdana"/>
          <w:b/>
          <w:i/>
          <w:sz w:val="18"/>
          <w:szCs w:val="18"/>
        </w:rPr>
      </w:pPr>
      <w:r w:rsidRPr="00AD55C1">
        <w:rPr>
          <w:rFonts w:ascii="Verdana" w:hAnsi="Verdana"/>
          <w:b/>
          <w:i/>
          <w:sz w:val="18"/>
          <w:szCs w:val="18"/>
        </w:rPr>
        <w:t xml:space="preserve">4. </w:t>
      </w:r>
      <w:r w:rsidR="0035076D" w:rsidRPr="00AD55C1">
        <w:rPr>
          <w:rFonts w:ascii="Verdana" w:hAnsi="Verdana"/>
          <w:b/>
          <w:i/>
          <w:sz w:val="18"/>
          <w:szCs w:val="18"/>
        </w:rPr>
        <w:t>Lidstaatopties</w:t>
      </w:r>
    </w:p>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Nationale beleidsruimte is met name aanwezig op de punten waar een lidstaatoptie in een richtlijn is opgenomen. In de </w:t>
      </w:r>
      <w:r w:rsidR="00137ECF" w:rsidRPr="00AD55C1">
        <w:rPr>
          <w:rFonts w:ascii="Verdana" w:hAnsi="Verdana"/>
          <w:sz w:val="18"/>
          <w:szCs w:val="18"/>
        </w:rPr>
        <w:t>O</w:t>
      </w:r>
      <w:r w:rsidRPr="00AD55C1">
        <w:rPr>
          <w:rFonts w:ascii="Verdana" w:hAnsi="Verdana"/>
          <w:sz w:val="18"/>
          <w:szCs w:val="18"/>
        </w:rPr>
        <w:t>mnibus II</w:t>
      </w:r>
      <w:r w:rsidR="00137ECF" w:rsidRPr="00AD55C1">
        <w:rPr>
          <w:rFonts w:ascii="Verdana" w:hAnsi="Verdana"/>
          <w:sz w:val="18"/>
          <w:szCs w:val="18"/>
        </w:rPr>
        <w:t xml:space="preserve">-richtlijn </w:t>
      </w:r>
      <w:r w:rsidRPr="00AD55C1">
        <w:rPr>
          <w:rFonts w:ascii="Verdana" w:hAnsi="Verdana"/>
          <w:sz w:val="18"/>
          <w:szCs w:val="18"/>
        </w:rPr>
        <w:t>is ernaar gestreefd om zoveel als mogelijk het toezicht op verzekeraars en herverzekeraars op Europees niveau te harmoniseren. Inherent hieraan is dat er weinig lidstaatopties zijn opgenomen. Ten opzichte van de lidstaatopties die al waren opgenomen in de richtlijn solvabiliteit II</w:t>
      </w:r>
      <w:r w:rsidRPr="00AD55C1">
        <w:rPr>
          <w:rStyle w:val="Voetnootmarkering"/>
          <w:rFonts w:ascii="Verdana" w:hAnsi="Verdana"/>
          <w:sz w:val="18"/>
          <w:szCs w:val="18"/>
        </w:rPr>
        <w:footnoteReference w:id="11"/>
      </w:r>
      <w:r w:rsidRPr="00AD55C1">
        <w:rPr>
          <w:rFonts w:ascii="Verdana" w:hAnsi="Verdana"/>
          <w:sz w:val="18"/>
          <w:szCs w:val="18"/>
        </w:rPr>
        <w:t xml:space="preserve"> zijn de volgende opties nieuw in de </w:t>
      </w:r>
      <w:r w:rsidR="00137ECF" w:rsidRPr="00AD55C1">
        <w:rPr>
          <w:rFonts w:ascii="Verdana" w:hAnsi="Verdana"/>
          <w:sz w:val="18"/>
          <w:szCs w:val="18"/>
        </w:rPr>
        <w:t>O</w:t>
      </w:r>
      <w:r w:rsidRPr="00AD55C1">
        <w:rPr>
          <w:rFonts w:ascii="Verdana" w:hAnsi="Verdana"/>
          <w:sz w:val="18"/>
          <w:szCs w:val="18"/>
        </w:rPr>
        <w:t>mnibus II</w:t>
      </w:r>
      <w:r w:rsidR="00137ECF" w:rsidRPr="00AD55C1">
        <w:rPr>
          <w:rFonts w:ascii="Verdana" w:hAnsi="Verdana"/>
          <w:sz w:val="18"/>
          <w:szCs w:val="18"/>
        </w:rPr>
        <w:t>-richtlijn</w:t>
      </w:r>
      <w:r w:rsidRPr="00AD55C1">
        <w:rPr>
          <w:rFonts w:ascii="Verdana" w:hAnsi="Verdana"/>
          <w:sz w:val="18"/>
          <w:szCs w:val="18"/>
        </w:rPr>
        <w:t>:</w:t>
      </w:r>
    </w:p>
    <w:p w:rsidR="0035076D" w:rsidRPr="00AD55C1" w:rsidRDefault="0035076D" w:rsidP="00AD55C1">
      <w:pPr>
        <w:spacing w:line="260" w:lineRule="exact"/>
        <w:rPr>
          <w:rFonts w:ascii="Verdana" w:hAnsi="Verdana"/>
          <w:sz w:val="18"/>
          <w:szCs w:val="18"/>
        </w:rPr>
      </w:pPr>
    </w:p>
    <w:tbl>
      <w:tblPr>
        <w:tblW w:w="7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22"/>
        <w:gridCol w:w="2998"/>
      </w:tblGrid>
      <w:tr w:rsidR="0035076D" w:rsidRPr="00AD55C1" w:rsidTr="000A7F44">
        <w:trPr>
          <w:trHeight w:val="518"/>
        </w:trPr>
        <w:tc>
          <w:tcPr>
            <w:tcW w:w="1230" w:type="dxa"/>
          </w:tcPr>
          <w:p w:rsidR="0035076D" w:rsidRPr="00AD55C1" w:rsidRDefault="0035076D" w:rsidP="00AD55C1">
            <w:pPr>
              <w:spacing w:line="260" w:lineRule="exact"/>
              <w:rPr>
                <w:rFonts w:ascii="Verdana" w:hAnsi="Verdana"/>
                <w:b/>
                <w:sz w:val="18"/>
                <w:szCs w:val="18"/>
              </w:rPr>
            </w:pPr>
            <w:r w:rsidRPr="00AD55C1">
              <w:rPr>
                <w:rFonts w:ascii="Verdana" w:hAnsi="Verdana"/>
                <w:b/>
                <w:sz w:val="18"/>
                <w:szCs w:val="18"/>
              </w:rPr>
              <w:t>Artikel</w:t>
            </w:r>
            <w:r w:rsidR="00353FA1">
              <w:rPr>
                <w:rFonts w:ascii="Verdana" w:hAnsi="Verdana"/>
                <w:b/>
                <w:sz w:val="18"/>
                <w:szCs w:val="18"/>
              </w:rPr>
              <w:t xml:space="preserve"> </w:t>
            </w:r>
            <w:r w:rsidR="00A65BE9" w:rsidRPr="00AD55C1">
              <w:rPr>
                <w:rFonts w:ascii="Verdana" w:hAnsi="Verdana"/>
                <w:b/>
                <w:sz w:val="18"/>
                <w:szCs w:val="18"/>
              </w:rPr>
              <w:t>2</w:t>
            </w:r>
            <w:r w:rsidRPr="00AD55C1">
              <w:rPr>
                <w:rFonts w:ascii="Verdana" w:hAnsi="Verdana"/>
                <w:b/>
                <w:sz w:val="18"/>
                <w:szCs w:val="18"/>
              </w:rPr>
              <w:t>, onderdeel</w:t>
            </w:r>
          </w:p>
        </w:tc>
        <w:tc>
          <w:tcPr>
            <w:tcW w:w="3322" w:type="dxa"/>
          </w:tcPr>
          <w:p w:rsidR="0035076D" w:rsidRPr="00AD55C1" w:rsidRDefault="0035076D" w:rsidP="00AD55C1">
            <w:pPr>
              <w:spacing w:line="260" w:lineRule="exact"/>
              <w:rPr>
                <w:rFonts w:ascii="Verdana" w:hAnsi="Verdana"/>
                <w:sz w:val="18"/>
                <w:szCs w:val="18"/>
              </w:rPr>
            </w:pPr>
            <w:r w:rsidRPr="00AD55C1">
              <w:rPr>
                <w:rFonts w:ascii="Verdana" w:hAnsi="Verdana"/>
                <w:sz w:val="18"/>
                <w:szCs w:val="18"/>
              </w:rPr>
              <w:t>Inhoud lidstaatoptie</w:t>
            </w:r>
          </w:p>
        </w:tc>
        <w:tc>
          <w:tcPr>
            <w:tcW w:w="2998" w:type="dxa"/>
          </w:tcPr>
          <w:p w:rsidR="0035076D" w:rsidRPr="00AD55C1" w:rsidRDefault="0035076D" w:rsidP="00AD55C1">
            <w:pPr>
              <w:spacing w:line="260" w:lineRule="exact"/>
              <w:rPr>
                <w:rFonts w:ascii="Verdana" w:hAnsi="Verdana"/>
                <w:sz w:val="18"/>
                <w:szCs w:val="18"/>
              </w:rPr>
            </w:pPr>
            <w:r w:rsidRPr="00AD55C1">
              <w:rPr>
                <w:rFonts w:ascii="Verdana" w:hAnsi="Verdana"/>
                <w:sz w:val="18"/>
                <w:szCs w:val="18"/>
              </w:rPr>
              <w:t>Keuze NL</w:t>
            </w:r>
          </w:p>
        </w:tc>
      </w:tr>
      <w:tr w:rsidR="0035076D" w:rsidRPr="00AD55C1" w:rsidTr="000A7F44">
        <w:trPr>
          <w:trHeight w:val="1569"/>
        </w:trPr>
        <w:tc>
          <w:tcPr>
            <w:tcW w:w="1230" w:type="dxa"/>
          </w:tcPr>
          <w:p w:rsidR="0035076D" w:rsidRPr="00AD55C1" w:rsidRDefault="0035076D" w:rsidP="00AD55C1">
            <w:pPr>
              <w:spacing w:line="260" w:lineRule="exact"/>
              <w:rPr>
                <w:rFonts w:ascii="Verdana" w:hAnsi="Verdana"/>
                <w:b/>
                <w:sz w:val="18"/>
                <w:szCs w:val="18"/>
              </w:rPr>
            </w:pPr>
            <w:r w:rsidRPr="00AD55C1">
              <w:rPr>
                <w:rFonts w:ascii="Verdana" w:hAnsi="Verdana"/>
                <w:b/>
                <w:sz w:val="18"/>
                <w:szCs w:val="18"/>
              </w:rPr>
              <w:lastRenderedPageBreak/>
              <w:t>23</w:t>
            </w:r>
          </w:p>
        </w:tc>
        <w:tc>
          <w:tcPr>
            <w:tcW w:w="3322" w:type="dxa"/>
          </w:tcPr>
          <w:p w:rsidR="0035076D" w:rsidRPr="00AD55C1" w:rsidRDefault="0035076D" w:rsidP="00AD55C1">
            <w:pPr>
              <w:spacing w:line="260" w:lineRule="exact"/>
              <w:rPr>
                <w:rFonts w:ascii="Verdana" w:hAnsi="Verdana"/>
                <w:sz w:val="18"/>
                <w:szCs w:val="18"/>
              </w:rPr>
            </w:pPr>
            <w:r w:rsidRPr="00AD55C1">
              <w:rPr>
                <w:rFonts w:ascii="Verdana" w:hAnsi="Verdana"/>
                <w:sz w:val="18"/>
                <w:szCs w:val="18"/>
              </w:rPr>
              <w:t xml:space="preserve">Invoegen van artikel 77 quinquies, van de richtlijn solvabiliteit II. De lidstaten mogen bepalen dat de toezichthouder vooraf toestemming moet geven voor toepassing van de volatiliteitsaanpassing. </w:t>
            </w:r>
          </w:p>
        </w:tc>
        <w:tc>
          <w:tcPr>
            <w:tcW w:w="2998" w:type="dxa"/>
          </w:tcPr>
          <w:p w:rsidR="0035076D" w:rsidRPr="00AD55C1" w:rsidRDefault="0035076D" w:rsidP="0018298F">
            <w:pPr>
              <w:spacing w:line="260" w:lineRule="exact"/>
              <w:rPr>
                <w:rFonts w:ascii="Verdana" w:hAnsi="Verdana"/>
                <w:sz w:val="18"/>
                <w:szCs w:val="18"/>
              </w:rPr>
            </w:pPr>
            <w:r w:rsidRPr="00AD55C1">
              <w:rPr>
                <w:rFonts w:ascii="Verdana" w:hAnsi="Verdana"/>
                <w:sz w:val="18"/>
                <w:szCs w:val="18"/>
              </w:rPr>
              <w:t xml:space="preserve">Van deze lidstaatoptie maakt Nederland geen gebruik. De volatiliteitsaanpassing heeft als doel om procyclisch investeringsgedrag tegen te gaan. Dit is ook voor Nederlandse verzekeraars van belang. </w:t>
            </w:r>
          </w:p>
        </w:tc>
      </w:tr>
      <w:tr w:rsidR="004F7188" w:rsidRPr="00AD55C1" w:rsidTr="000A7F44">
        <w:trPr>
          <w:trHeight w:val="1569"/>
        </w:trPr>
        <w:tc>
          <w:tcPr>
            <w:tcW w:w="1230" w:type="dxa"/>
          </w:tcPr>
          <w:p w:rsidR="004F7188" w:rsidRPr="00AD55C1" w:rsidRDefault="002C5EAF" w:rsidP="00AD55C1">
            <w:pPr>
              <w:spacing w:line="260" w:lineRule="exact"/>
              <w:rPr>
                <w:rFonts w:ascii="Verdana" w:hAnsi="Verdana"/>
                <w:b/>
                <w:sz w:val="18"/>
                <w:szCs w:val="18"/>
              </w:rPr>
            </w:pPr>
            <w:r w:rsidRPr="00AD55C1">
              <w:rPr>
                <w:rFonts w:ascii="Verdana" w:hAnsi="Verdana"/>
                <w:b/>
                <w:sz w:val="18"/>
                <w:szCs w:val="18"/>
              </w:rPr>
              <w:t>80</w:t>
            </w:r>
          </w:p>
        </w:tc>
        <w:tc>
          <w:tcPr>
            <w:tcW w:w="3322" w:type="dxa"/>
          </w:tcPr>
          <w:p w:rsidR="004F7188" w:rsidRPr="00AD55C1" w:rsidRDefault="002C5EAF" w:rsidP="005C3E9A">
            <w:pPr>
              <w:spacing w:line="260" w:lineRule="exact"/>
              <w:rPr>
                <w:rFonts w:ascii="Verdana" w:hAnsi="Verdana"/>
                <w:sz w:val="18"/>
                <w:szCs w:val="18"/>
              </w:rPr>
            </w:pPr>
            <w:r w:rsidRPr="00AD55C1">
              <w:rPr>
                <w:rFonts w:ascii="Verdana" w:hAnsi="Verdana"/>
                <w:sz w:val="18"/>
                <w:szCs w:val="18"/>
              </w:rPr>
              <w:t>Artikel 308 ter, vijftiende lid, van de richtlijn solvabiliteit II. Verzekeraars die de IORP</w:t>
            </w:r>
            <w:r w:rsidR="003253B4">
              <w:rPr>
                <w:rStyle w:val="Voetnootmarkering"/>
                <w:rFonts w:ascii="Verdana" w:hAnsi="Verdana"/>
                <w:sz w:val="18"/>
                <w:szCs w:val="18"/>
              </w:rPr>
              <w:footnoteReference w:id="12"/>
            </w:r>
            <w:r w:rsidRPr="00AD55C1">
              <w:rPr>
                <w:rFonts w:ascii="Verdana" w:hAnsi="Verdana"/>
                <w:sz w:val="18"/>
                <w:szCs w:val="18"/>
              </w:rPr>
              <w:t xml:space="preserve"> richtlijn mogen toepassen voor de pensioenverzekeringen kunnen gebruik blijven maken van de kapitaaleisen zoals deze zijn vastgesteld in de Solvabiliteit I richtlijnen.</w:t>
            </w:r>
          </w:p>
        </w:tc>
        <w:tc>
          <w:tcPr>
            <w:tcW w:w="2998" w:type="dxa"/>
          </w:tcPr>
          <w:p w:rsidR="004F7188" w:rsidRPr="00AD55C1" w:rsidRDefault="002C5EAF" w:rsidP="00AD55C1">
            <w:pPr>
              <w:spacing w:line="260" w:lineRule="exact"/>
              <w:rPr>
                <w:rFonts w:ascii="Verdana" w:hAnsi="Verdana"/>
                <w:sz w:val="18"/>
                <w:szCs w:val="18"/>
              </w:rPr>
            </w:pPr>
            <w:r w:rsidRPr="00AD55C1">
              <w:rPr>
                <w:rFonts w:ascii="Verdana" w:hAnsi="Verdana"/>
                <w:sz w:val="18"/>
                <w:szCs w:val="18"/>
              </w:rPr>
              <w:t>Van deze lidstaatoptie maakt Nederland geen gebruik. De lidstaatoptie in de IORP richtlijn is niet overgenomen in de Nederlandse wet en bijgevolg kan de optie in artikel 308 ter, vijftiende lid, niet worden geïmplementeerd.</w:t>
            </w:r>
          </w:p>
        </w:tc>
      </w:tr>
      <w:tr w:rsidR="0035076D" w:rsidRPr="00AD55C1" w:rsidTr="000A7F44">
        <w:trPr>
          <w:trHeight w:val="1858"/>
        </w:trPr>
        <w:tc>
          <w:tcPr>
            <w:tcW w:w="1230" w:type="dxa"/>
          </w:tcPr>
          <w:p w:rsidR="0035076D" w:rsidRPr="00AD55C1" w:rsidRDefault="0035076D" w:rsidP="00AD55C1">
            <w:pPr>
              <w:spacing w:line="260" w:lineRule="exact"/>
              <w:rPr>
                <w:rFonts w:ascii="Verdana" w:hAnsi="Verdana"/>
                <w:b/>
                <w:sz w:val="18"/>
                <w:szCs w:val="18"/>
              </w:rPr>
            </w:pPr>
            <w:r w:rsidRPr="00AD55C1">
              <w:rPr>
                <w:rFonts w:ascii="Verdana" w:hAnsi="Verdana"/>
                <w:b/>
                <w:sz w:val="18"/>
                <w:szCs w:val="18"/>
              </w:rPr>
              <w:t>80</w:t>
            </w:r>
          </w:p>
        </w:tc>
        <w:tc>
          <w:tcPr>
            <w:tcW w:w="3322" w:type="dxa"/>
          </w:tcPr>
          <w:p w:rsidR="0035076D" w:rsidRPr="00AD55C1" w:rsidRDefault="0035076D" w:rsidP="00AD55C1">
            <w:pPr>
              <w:spacing w:line="260" w:lineRule="exact"/>
              <w:rPr>
                <w:rFonts w:ascii="Verdana" w:hAnsi="Verdana"/>
                <w:sz w:val="18"/>
                <w:szCs w:val="18"/>
              </w:rPr>
            </w:pPr>
            <w:r w:rsidRPr="00AD55C1">
              <w:rPr>
                <w:rFonts w:ascii="Verdana" w:hAnsi="Verdana"/>
                <w:sz w:val="18"/>
                <w:szCs w:val="18"/>
              </w:rPr>
              <w:t>Artikel 308 ter, zestiende lid, van de richtlijn solvabiliteit II. De lidstaten kunnen de uiteindelijke moeder(her)verzekeraar tot en met 31 maart 2022 toestaan een aanvraag in te dienen voor de goedkeuring van een intern groepsmodel dat van toepassing is op een deel van de groep (onder voorwaarden).</w:t>
            </w:r>
          </w:p>
        </w:tc>
        <w:tc>
          <w:tcPr>
            <w:tcW w:w="2998" w:type="dxa"/>
          </w:tcPr>
          <w:p w:rsidR="0035076D" w:rsidRPr="00AD55C1" w:rsidRDefault="0035076D" w:rsidP="003253B4">
            <w:pPr>
              <w:spacing w:line="260" w:lineRule="exact"/>
              <w:rPr>
                <w:rFonts w:ascii="Verdana" w:hAnsi="Verdana"/>
                <w:sz w:val="18"/>
                <w:szCs w:val="18"/>
              </w:rPr>
            </w:pPr>
            <w:r w:rsidRPr="00AD55C1">
              <w:rPr>
                <w:rFonts w:ascii="Verdana" w:hAnsi="Verdana"/>
                <w:sz w:val="18"/>
                <w:szCs w:val="18"/>
              </w:rPr>
              <w:t xml:space="preserve">Van deze lidstaatoptie maakt Nederland gebruik. Dit </w:t>
            </w:r>
            <w:r w:rsidR="003253B4">
              <w:rPr>
                <w:rFonts w:ascii="Verdana" w:hAnsi="Verdana"/>
                <w:sz w:val="18"/>
                <w:szCs w:val="18"/>
              </w:rPr>
              <w:t xml:space="preserve">zal </w:t>
            </w:r>
            <w:r w:rsidRPr="00AD55C1">
              <w:rPr>
                <w:rFonts w:ascii="Verdana" w:hAnsi="Verdana"/>
                <w:sz w:val="18"/>
                <w:szCs w:val="18"/>
              </w:rPr>
              <w:t>word</w:t>
            </w:r>
            <w:r w:rsidR="003253B4">
              <w:rPr>
                <w:rFonts w:ascii="Verdana" w:hAnsi="Verdana"/>
                <w:sz w:val="18"/>
                <w:szCs w:val="18"/>
              </w:rPr>
              <w:t>en</w:t>
            </w:r>
            <w:r w:rsidRPr="00AD55C1">
              <w:rPr>
                <w:rFonts w:ascii="Verdana" w:hAnsi="Verdana"/>
                <w:sz w:val="18"/>
                <w:szCs w:val="18"/>
              </w:rPr>
              <w:t xml:space="preserve"> uitgewerkt in het Besluit prudentiële regels Wft. </w:t>
            </w:r>
          </w:p>
        </w:tc>
      </w:tr>
    </w:tbl>
    <w:p w:rsidR="0035076D" w:rsidRPr="00AD55C1" w:rsidRDefault="0035076D" w:rsidP="00AD55C1">
      <w:pPr>
        <w:spacing w:line="260" w:lineRule="exact"/>
        <w:rPr>
          <w:rFonts w:ascii="Verdana" w:hAnsi="Verdana"/>
          <w:sz w:val="18"/>
          <w:szCs w:val="18"/>
        </w:rPr>
      </w:pPr>
    </w:p>
    <w:p w:rsidR="002C30AA" w:rsidRPr="00AD55C1" w:rsidRDefault="0035076D" w:rsidP="00AD55C1">
      <w:pPr>
        <w:spacing w:line="260" w:lineRule="exact"/>
        <w:rPr>
          <w:rFonts w:ascii="Verdana" w:hAnsi="Verdana"/>
          <w:b/>
          <w:bCs/>
          <w:sz w:val="18"/>
          <w:szCs w:val="18"/>
        </w:rPr>
      </w:pPr>
      <w:r w:rsidRPr="00AD55C1">
        <w:rPr>
          <w:rFonts w:ascii="Verdana" w:hAnsi="Verdana"/>
          <w:sz w:val="18"/>
          <w:szCs w:val="18"/>
        </w:rPr>
        <w:t xml:space="preserve">In de </w:t>
      </w:r>
      <w:r w:rsidR="00137ECF" w:rsidRPr="00AD55C1">
        <w:rPr>
          <w:rFonts w:ascii="Verdana" w:hAnsi="Verdana"/>
          <w:sz w:val="18"/>
          <w:szCs w:val="18"/>
        </w:rPr>
        <w:t xml:space="preserve">Omnibus II-richtlijn </w:t>
      </w:r>
      <w:r w:rsidRPr="00AD55C1">
        <w:rPr>
          <w:rFonts w:ascii="Verdana" w:hAnsi="Verdana"/>
          <w:sz w:val="18"/>
          <w:szCs w:val="18"/>
        </w:rPr>
        <w:t>zijn geen nieuwe lidstaatopties opgenomen voor de richtlijn</w:t>
      </w:r>
      <w:r w:rsidR="003253B4">
        <w:rPr>
          <w:rFonts w:ascii="Verdana" w:hAnsi="Verdana"/>
          <w:sz w:val="18"/>
          <w:szCs w:val="18"/>
        </w:rPr>
        <w:t xml:space="preserve"> p</w:t>
      </w:r>
      <w:r w:rsidR="003253B4" w:rsidRPr="00AD55C1">
        <w:rPr>
          <w:rFonts w:ascii="Verdana" w:hAnsi="Verdana"/>
          <w:sz w:val="18"/>
          <w:szCs w:val="18"/>
        </w:rPr>
        <w:t>rospectus</w:t>
      </w:r>
      <w:r w:rsidR="003253B4">
        <w:rPr>
          <w:rFonts w:ascii="Verdana" w:hAnsi="Verdana"/>
          <w:sz w:val="18"/>
          <w:szCs w:val="18"/>
        </w:rPr>
        <w:t>.</w:t>
      </w:r>
    </w:p>
    <w:p w:rsidR="00C161A2" w:rsidRPr="00AD55C1" w:rsidRDefault="00C161A2" w:rsidP="00AD55C1">
      <w:pPr>
        <w:spacing w:line="260" w:lineRule="exact"/>
        <w:rPr>
          <w:rFonts w:ascii="Verdana" w:hAnsi="Verdana"/>
          <w:b/>
          <w:bCs/>
          <w:i/>
          <w:sz w:val="18"/>
          <w:szCs w:val="18"/>
        </w:rPr>
      </w:pPr>
    </w:p>
    <w:p w:rsidR="002C30AA" w:rsidRPr="00AD55C1" w:rsidRDefault="002C30AA" w:rsidP="00AD55C1">
      <w:pPr>
        <w:spacing w:line="260" w:lineRule="exact"/>
        <w:rPr>
          <w:rFonts w:ascii="Verdana" w:hAnsi="Verdana"/>
          <w:b/>
          <w:bCs/>
          <w:i/>
          <w:sz w:val="18"/>
          <w:szCs w:val="18"/>
        </w:rPr>
      </w:pPr>
      <w:r w:rsidRPr="00AD55C1">
        <w:rPr>
          <w:rFonts w:ascii="Verdana" w:hAnsi="Verdana"/>
          <w:b/>
          <w:bCs/>
          <w:i/>
          <w:sz w:val="18"/>
          <w:szCs w:val="18"/>
        </w:rPr>
        <w:t>5. Verzekeraars met beperkte risico-omvang</w:t>
      </w:r>
    </w:p>
    <w:p w:rsidR="002C30AA" w:rsidRPr="00AD55C1" w:rsidRDefault="002C30AA" w:rsidP="00AD55C1">
      <w:pPr>
        <w:spacing w:line="260" w:lineRule="exact"/>
        <w:rPr>
          <w:rFonts w:ascii="Verdana" w:hAnsi="Verdana"/>
          <w:bCs/>
          <w:i/>
          <w:sz w:val="18"/>
          <w:szCs w:val="18"/>
        </w:rPr>
      </w:pPr>
    </w:p>
    <w:p w:rsidR="002C30AA" w:rsidRPr="003B0749" w:rsidRDefault="003B0749" w:rsidP="00AD55C1">
      <w:pPr>
        <w:spacing w:line="260" w:lineRule="exact"/>
        <w:rPr>
          <w:rFonts w:ascii="Verdana" w:hAnsi="Verdana"/>
          <w:bCs/>
          <w:i/>
          <w:sz w:val="18"/>
          <w:szCs w:val="18"/>
        </w:rPr>
      </w:pPr>
      <w:r w:rsidRPr="003B0749">
        <w:rPr>
          <w:rFonts w:ascii="Verdana" w:hAnsi="Verdana"/>
          <w:bCs/>
          <w:i/>
          <w:sz w:val="18"/>
          <w:szCs w:val="18"/>
        </w:rPr>
        <w:t>(</w:t>
      </w:r>
      <w:r w:rsidR="002C30AA" w:rsidRPr="003B0749">
        <w:rPr>
          <w:rFonts w:ascii="Verdana" w:hAnsi="Verdana"/>
          <w:bCs/>
          <w:i/>
          <w:sz w:val="18"/>
          <w:szCs w:val="18"/>
        </w:rPr>
        <w:t>a</w:t>
      </w:r>
      <w:r w:rsidRPr="003B0749">
        <w:rPr>
          <w:rFonts w:ascii="Verdana" w:hAnsi="Verdana"/>
          <w:bCs/>
          <w:i/>
          <w:sz w:val="18"/>
          <w:szCs w:val="18"/>
        </w:rPr>
        <w:t>)</w:t>
      </w:r>
      <w:r w:rsidR="002C30AA" w:rsidRPr="003B0749">
        <w:rPr>
          <w:rFonts w:ascii="Verdana" w:hAnsi="Verdana"/>
          <w:bCs/>
          <w:i/>
          <w:sz w:val="18"/>
          <w:szCs w:val="18"/>
        </w:rPr>
        <w:t xml:space="preserve"> Europese context verzekeraars met beperkte risico-omvang</w:t>
      </w:r>
    </w:p>
    <w:p w:rsidR="002C30AA" w:rsidRPr="00AD55C1" w:rsidRDefault="002C30AA" w:rsidP="00AD55C1">
      <w:pPr>
        <w:spacing w:line="260" w:lineRule="exact"/>
        <w:rPr>
          <w:rFonts w:ascii="Verdana" w:hAnsi="Verdana"/>
          <w:b/>
          <w:bCs/>
          <w:sz w:val="18"/>
          <w:szCs w:val="18"/>
        </w:rPr>
      </w:pP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 xml:space="preserve">Zoals in paragraaf 3 van de memorie van toelichting </w:t>
      </w:r>
      <w:r w:rsidR="003B0749">
        <w:rPr>
          <w:rFonts w:ascii="Verdana" w:hAnsi="Verdana"/>
          <w:sz w:val="18"/>
          <w:szCs w:val="18"/>
        </w:rPr>
        <w:t xml:space="preserve">bij het voorstel voor </w:t>
      </w:r>
      <w:r w:rsidRPr="00AD55C1">
        <w:rPr>
          <w:rFonts w:ascii="Verdana" w:hAnsi="Verdana"/>
          <w:sz w:val="18"/>
          <w:szCs w:val="18"/>
        </w:rPr>
        <w:t xml:space="preserve">de Implementatiewet richtlijn solvabiliteit II is uiteengezet, bestrijkt de richtlijn solvabiliteit II niet alle verzekeraars. Dit omdat het toezichtskader dat door de richtlijn wordt geïntroduceerd te zwaar zou zijn voor kleine verzekeraars (hierna verzekeraars met beperkte risico-omvang). Omdat zij niet onder de werkingssfeer van de richtlijn vallen, kunnen verzekeraars met beperkte risico-omvang ook geen gebruik maken van het zogenoemde ‘Europees paspoort’. Met een Europees paspoort kunnen verzekeraars die een vergunning hebben verkregen in de lidstaat van hun zetel, activiteiten ontplooien in alle andere lidstaten zonder daar een aparte vergunning te hoeven verkrijgen. </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De vraag is nu hoe verzekeraars</w:t>
      </w:r>
      <w:r w:rsidR="003253B4">
        <w:rPr>
          <w:rFonts w:ascii="Verdana" w:hAnsi="Verdana"/>
          <w:sz w:val="18"/>
          <w:szCs w:val="18"/>
        </w:rPr>
        <w:t xml:space="preserve"> </w:t>
      </w:r>
      <w:r w:rsidRPr="00AD55C1">
        <w:rPr>
          <w:rFonts w:ascii="Verdana" w:hAnsi="Verdana"/>
          <w:sz w:val="18"/>
          <w:szCs w:val="18"/>
        </w:rPr>
        <w:t xml:space="preserve">met beperkte risico-omvang, die dus geen Europees paspoort hebben, met zetel in een andere lidstaat te behandelen indien zij een bijkantoor in Nederland willen openen, dan wel diensten willen </w:t>
      </w:r>
      <w:r w:rsidRPr="00AD55C1">
        <w:rPr>
          <w:rFonts w:ascii="Verdana" w:hAnsi="Verdana"/>
          <w:sz w:val="18"/>
          <w:szCs w:val="18"/>
        </w:rPr>
        <w:lastRenderedPageBreak/>
        <w:t>verrichten naar Nederland. In eerste instantie werd op grond van artikel 4, vierde lid, laatste alinea, van de richtlijn solvabiliteit II verondersteld dat voor dergelijke verzekeraars grensoverschrijdende activiteit enkel mogelijk was  met een vergunning op basis van artikel 14 van die richtlijn (Solvency II vergunning). In de Implementatiewet richtlijn solvabiliteit II is dan ook niet voorzien in een “</w:t>
      </w:r>
      <w:r w:rsidR="003253B4">
        <w:rPr>
          <w:rFonts w:ascii="Verdana" w:hAnsi="Verdana"/>
          <w:sz w:val="18"/>
          <w:szCs w:val="18"/>
        </w:rPr>
        <w:t>b</w:t>
      </w:r>
      <w:r w:rsidRPr="00AD55C1">
        <w:rPr>
          <w:rFonts w:ascii="Verdana" w:hAnsi="Verdana"/>
          <w:sz w:val="18"/>
          <w:szCs w:val="18"/>
        </w:rPr>
        <w:t>asic-vergunning”</w:t>
      </w:r>
      <w:r w:rsidRPr="00AD55C1">
        <w:rPr>
          <w:rFonts w:ascii="Verdana" w:hAnsi="Verdana"/>
          <w:sz w:val="18"/>
          <w:szCs w:val="18"/>
          <w:vertAlign w:val="superscript"/>
        </w:rPr>
        <w:footnoteReference w:id="13"/>
      </w:r>
      <w:r w:rsidRPr="00AD55C1">
        <w:rPr>
          <w:rFonts w:ascii="Verdana" w:hAnsi="Verdana"/>
          <w:sz w:val="18"/>
          <w:szCs w:val="18"/>
        </w:rPr>
        <w:t xml:space="preserve"> voor deze verzekeraars.</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 xml:space="preserve">Bij nader inzien rees de vraag of deze interpretatie van artikel 4, vierde lid, laatste alinea, van de richtlijn solvabiliteit II wel juist was. Navraag bij de Europese Commissie leerde dat ook verzekeraars met zetel in andere lidstaten die niet onder de richtlijn solvabiliteit II vallen, in Nederland actief moeten kunnen zijn, hetzij via een bijkantoor in Nederland, hetzij via dienstverrichting. Daarbij kunnen zij niet, enkel vanwege het feit dat ze grensoverschrijdende activiteiten willen ontplooien, binnen de werkingssfeer van de richtlijn solvabiliteit II gebracht worden. Immers, de richtlijn sluit deze verzekeraars met beperkte risico-omvang uitdrukkelijk van de werkingsfeer </w:t>
      </w:r>
      <w:r w:rsidR="0018298F" w:rsidRPr="00AD55C1">
        <w:rPr>
          <w:rFonts w:ascii="Verdana" w:hAnsi="Verdana"/>
          <w:sz w:val="18"/>
          <w:szCs w:val="18"/>
        </w:rPr>
        <w:t xml:space="preserve">uit. </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 xml:space="preserve">Thans wordt voorgesteld dat verzekeraars met zetel in een andere </w:t>
      </w:r>
      <w:r w:rsidR="0018298F" w:rsidRPr="00AD55C1">
        <w:rPr>
          <w:rFonts w:ascii="Verdana" w:hAnsi="Verdana"/>
          <w:sz w:val="18"/>
          <w:szCs w:val="18"/>
        </w:rPr>
        <w:t xml:space="preserve">lidstaat </w:t>
      </w:r>
      <w:r w:rsidRPr="00AD55C1">
        <w:rPr>
          <w:rFonts w:ascii="Verdana" w:hAnsi="Verdana"/>
          <w:sz w:val="18"/>
          <w:szCs w:val="18"/>
        </w:rPr>
        <w:t xml:space="preserve">die niet beschikken over een Solvency II-vergunning (en dus ook niet beschikken over een Europees paspoort) die in Nederland een bijkantoor willen openen een vergunning dienen aan te vragen bij DNB. De vergunningvoorwaarden zijn gelijk aan de voorwaarden die worden gesteld aan verzekeraars met een beperkte risico-omvang met zetel in Nederland (een basic-vergunning). </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De vergunningeis vormt een belemmering van het door artikel 49 van het Verdrag betreffende de werking van de Europese Unie (hierna: VWEU) beschermde recht op een vrij verkeer van vestiging. Op het verbod op een belemmering van het vrij verkeer zijn slechts dan uitzonderingen mogelijk indien is voldaan aan een drietal criteria: de regeling moet gerechtvaardigd worden door een zogenoemde dwingende reden van algemeen belang</w:t>
      </w:r>
      <w:r w:rsidRPr="00AD55C1">
        <w:rPr>
          <w:rFonts w:ascii="Verdana" w:hAnsi="Verdana"/>
          <w:sz w:val="18"/>
          <w:szCs w:val="18"/>
          <w:vertAlign w:val="superscript"/>
        </w:rPr>
        <w:footnoteReference w:id="14"/>
      </w:r>
      <w:r w:rsidRPr="00AD55C1">
        <w:rPr>
          <w:rFonts w:ascii="Verdana" w:hAnsi="Verdana"/>
          <w:sz w:val="18"/>
          <w:szCs w:val="18"/>
        </w:rPr>
        <w:t>, de belemmering moet geschikt zijn om de verwezenlijking van het gestelde doel te realiseren, en de belemmering mag niet verder gaan dan ter bereiking van het doel noodzakelijk is (proportionaliteitsvereiste).</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Ten aanzien van het eerste criterium kan worden gewezen op rechtspraak van het Hof van Justitie van de Europese Unie</w:t>
      </w:r>
      <w:r w:rsidR="0018298F" w:rsidRPr="00AD55C1">
        <w:rPr>
          <w:rFonts w:ascii="Verdana" w:hAnsi="Verdana"/>
          <w:sz w:val="18"/>
          <w:szCs w:val="18"/>
        </w:rPr>
        <w:t>, waarin</w:t>
      </w:r>
      <w:r w:rsidRPr="00AD55C1">
        <w:rPr>
          <w:rFonts w:ascii="Verdana" w:hAnsi="Verdana"/>
          <w:sz w:val="18"/>
          <w:szCs w:val="18"/>
        </w:rPr>
        <w:t xml:space="preserve"> het Hof overwoog dat de handhaving van de goede reputatie van de nationale financiële sector een dwingende reden van algemeen belang kan zijn, die beperkingen op het vrij verkeer kan rechtvaardigen.</w:t>
      </w:r>
      <w:r w:rsidRPr="00AD55C1">
        <w:rPr>
          <w:rFonts w:ascii="Verdana" w:hAnsi="Verdana"/>
          <w:sz w:val="18"/>
          <w:szCs w:val="18"/>
          <w:vertAlign w:val="superscript"/>
        </w:rPr>
        <w:footnoteReference w:id="15"/>
      </w:r>
      <w:r w:rsidRPr="00AD55C1">
        <w:rPr>
          <w:rFonts w:ascii="Verdana" w:hAnsi="Verdana"/>
          <w:sz w:val="18"/>
          <w:szCs w:val="18"/>
        </w:rPr>
        <w:t xml:space="preserve"> Daarnaast strekt de vergunningeis tot bescherming van consumenten tegen ondeugdelijke verzekeraars. Ook consumentenbescherming is een door het Hof van Justitie erkende dwingende reden van algemeen belang.</w:t>
      </w:r>
      <w:r w:rsidRPr="00AD55C1">
        <w:rPr>
          <w:rFonts w:ascii="Verdana" w:hAnsi="Verdana"/>
          <w:sz w:val="18"/>
          <w:szCs w:val="18"/>
          <w:vertAlign w:val="superscript"/>
        </w:rPr>
        <w:footnoteReference w:id="16"/>
      </w:r>
      <w:r w:rsidRPr="00AD55C1">
        <w:rPr>
          <w:rFonts w:ascii="Verdana" w:hAnsi="Verdana"/>
          <w:sz w:val="18"/>
          <w:szCs w:val="18"/>
        </w:rPr>
        <w:t xml:space="preserve"> </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 xml:space="preserve">Ten aanzien van het tweede criterium (de maatregel moet geschikt zijn om het doel te realiseren) wordt het </w:t>
      </w:r>
      <w:r w:rsidR="0018298F" w:rsidRPr="00AD55C1">
        <w:rPr>
          <w:rFonts w:ascii="Verdana" w:hAnsi="Verdana"/>
          <w:sz w:val="18"/>
          <w:szCs w:val="18"/>
        </w:rPr>
        <w:t xml:space="preserve">volgende </w:t>
      </w:r>
      <w:r w:rsidRPr="00AD55C1">
        <w:rPr>
          <w:rFonts w:ascii="Verdana" w:hAnsi="Verdana"/>
          <w:sz w:val="18"/>
          <w:szCs w:val="18"/>
        </w:rPr>
        <w:t xml:space="preserve">opgemerkt. Gelet op het doel van het vergunningstelsel (het beschermen van consumenten en het </w:t>
      </w:r>
      <w:r w:rsidR="0018298F" w:rsidRPr="00AD55C1">
        <w:rPr>
          <w:rFonts w:ascii="Verdana" w:hAnsi="Verdana"/>
          <w:sz w:val="18"/>
          <w:szCs w:val="18"/>
        </w:rPr>
        <w:t xml:space="preserve">handhaven </w:t>
      </w:r>
      <w:r w:rsidRPr="00AD55C1">
        <w:rPr>
          <w:rFonts w:ascii="Verdana" w:hAnsi="Verdana"/>
          <w:sz w:val="18"/>
          <w:szCs w:val="18"/>
        </w:rPr>
        <w:t xml:space="preserve">van het vertrouwen van de consument in het financiële stelsel en in verzekeraars met beperkte risico-omvang.) past een preventief toezicht door middel van een vergunningeis. De voorschriften verbonden aan de vergunning waarborgen de </w:t>
      </w:r>
      <w:r w:rsidRPr="00AD55C1">
        <w:rPr>
          <w:rFonts w:ascii="Verdana" w:hAnsi="Verdana"/>
          <w:sz w:val="18"/>
          <w:szCs w:val="18"/>
        </w:rPr>
        <w:lastRenderedPageBreak/>
        <w:t>soliditeit van de verzekeraar en stellen, zoveel als mogelijk, zeker dat de verzekeraar het bedrijf op een deugdelijke wijze kan uitoefenen. Verzekeraars die niet aan de vergunningvoorwaarden voldoen kunnen worden geweerd.</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Ten aanzien van het derde criterium (de regeling mag niet verder mag gaan dan ter bereiking van het doel noodzakelijk) wordt het volgende opgemerkt. In de eerste plaats wordt opgemerkt dat repressief toezicht niet op zijn plaats is, immers, controle achteraf zou te laat komen om consumenten tegen ondeugdelijke verzekeraars te beschermen</w:t>
      </w:r>
      <w:r w:rsidR="0018298F" w:rsidRPr="00AD55C1">
        <w:rPr>
          <w:rFonts w:ascii="Verdana" w:hAnsi="Verdana"/>
          <w:sz w:val="18"/>
          <w:szCs w:val="18"/>
        </w:rPr>
        <w:t>.</w:t>
      </w:r>
      <w:r w:rsidRPr="00AD55C1">
        <w:rPr>
          <w:rFonts w:ascii="Verdana" w:hAnsi="Verdana"/>
          <w:sz w:val="18"/>
          <w:szCs w:val="18"/>
        </w:rPr>
        <w:t xml:space="preserve"> De vergunningeisen zijn vervolgens, gelijk de vergunningvoorschriften voor verzekeraars met een beperkte risico-omvang met zetel in Nederland, aanmerkelijk minder belastend dan de voorschriften van een Solvency II-vergunning. </w:t>
      </w:r>
      <w:r w:rsidR="0018298F" w:rsidRPr="00AD55C1">
        <w:rPr>
          <w:rFonts w:ascii="Verdana" w:hAnsi="Verdana"/>
          <w:sz w:val="18"/>
          <w:szCs w:val="18"/>
        </w:rPr>
        <w:t xml:space="preserve">Het betreft een aantal kernelementen die de deugdelijke bedrijfsvoering en solide bedrijfsuitoefening moeten waarborgen. </w:t>
      </w:r>
      <w:r w:rsidRPr="00AD55C1">
        <w:rPr>
          <w:rFonts w:ascii="Verdana" w:hAnsi="Verdana"/>
          <w:sz w:val="18"/>
          <w:szCs w:val="18"/>
        </w:rPr>
        <w:t xml:space="preserve">De voorschriften die worden gegeven gaan overigens niet verder dan thans internationaal gebruikelijk is. </w:t>
      </w:r>
    </w:p>
    <w:p w:rsidR="002C30AA" w:rsidRPr="00AD55C1" w:rsidRDefault="002C30AA" w:rsidP="00AD55C1">
      <w:pPr>
        <w:spacing w:line="260" w:lineRule="exact"/>
        <w:rPr>
          <w:rFonts w:ascii="Verdana" w:hAnsi="Verdana"/>
          <w:sz w:val="18"/>
          <w:szCs w:val="18"/>
        </w:rPr>
      </w:pPr>
      <w:r w:rsidRPr="00AD55C1">
        <w:rPr>
          <w:rFonts w:ascii="Verdana" w:hAnsi="Verdana"/>
          <w:sz w:val="18"/>
          <w:szCs w:val="18"/>
        </w:rPr>
        <w:t>Voorts kan worden opgemerkt dat de vergunningplicht slechts geldt voor verzekeraars met een beperkte risico-omvang met zetel in een staat (daaronder mede begrepen lidstaten van de Europese Unie) die geen aan het Nederlands toezichtgelijkwaardig toezicht uitoefenen op verzekeraars met beperkte risico-omvang</w:t>
      </w:r>
      <w:r w:rsidR="0018298F" w:rsidRPr="00AD55C1">
        <w:rPr>
          <w:rFonts w:ascii="Verdana" w:hAnsi="Verdana"/>
          <w:sz w:val="18"/>
          <w:szCs w:val="18"/>
        </w:rPr>
        <w:t>.</w:t>
      </w:r>
      <w:r w:rsidRPr="00AD55C1">
        <w:rPr>
          <w:rFonts w:ascii="Verdana" w:hAnsi="Verdana"/>
          <w:sz w:val="18"/>
          <w:szCs w:val="18"/>
        </w:rPr>
        <w:t xml:space="preserve"> Daarmee wordt beoogd te voorkomen dat onnodig een dubbele, en qua inhoud gelijkwaardige, vergunningplicht wordt opgelegd. In dit verband zij erop gewezen dat bij algemene maatregel van bestuur nadere regels worden gesteld met betrekking tot het aanwijzen van staten als staat waar een gelijkwaardig toezicht wordt uitgeoefend op verzekeraars met een beperkte risico-omvang. </w:t>
      </w:r>
    </w:p>
    <w:p w:rsidR="002C30AA" w:rsidRPr="00AD55C1" w:rsidRDefault="002C30AA" w:rsidP="00AD55C1">
      <w:pPr>
        <w:spacing w:line="260" w:lineRule="exact"/>
        <w:rPr>
          <w:rFonts w:ascii="Verdana" w:hAnsi="Verdana"/>
          <w:bCs/>
          <w:sz w:val="18"/>
          <w:szCs w:val="18"/>
        </w:rPr>
      </w:pPr>
      <w:r w:rsidRPr="00AD55C1">
        <w:rPr>
          <w:rFonts w:ascii="Verdana" w:hAnsi="Verdana"/>
          <w:sz w:val="18"/>
          <w:szCs w:val="18"/>
        </w:rPr>
        <w:t xml:space="preserve">Gelet op het voorgaande kan worden geconcludeerd dat het voorgestelde vergunningstelsel voor verzekeraars met een beperkte risico-omvang geen ongerechtvaardigde belemmering van het vrij verkeer van vestiging vormt. </w:t>
      </w:r>
    </w:p>
    <w:p w:rsidR="002C30AA" w:rsidRPr="00AD55C1" w:rsidRDefault="002C30AA" w:rsidP="00AD55C1">
      <w:pPr>
        <w:spacing w:line="260" w:lineRule="exact"/>
        <w:rPr>
          <w:rFonts w:ascii="Verdana" w:hAnsi="Verdana"/>
          <w:b/>
          <w:bCs/>
          <w:sz w:val="18"/>
          <w:szCs w:val="18"/>
        </w:rPr>
      </w:pPr>
    </w:p>
    <w:p w:rsidR="002C30AA" w:rsidRPr="003B0749" w:rsidRDefault="003B0749" w:rsidP="00AD55C1">
      <w:pPr>
        <w:spacing w:line="260" w:lineRule="exact"/>
        <w:rPr>
          <w:rFonts w:ascii="Verdana" w:hAnsi="Verdana"/>
          <w:bCs/>
          <w:i/>
          <w:sz w:val="18"/>
          <w:szCs w:val="18"/>
        </w:rPr>
      </w:pPr>
      <w:r w:rsidRPr="003B0749">
        <w:rPr>
          <w:rFonts w:ascii="Verdana" w:hAnsi="Verdana"/>
          <w:bCs/>
          <w:i/>
          <w:sz w:val="18"/>
          <w:szCs w:val="18"/>
        </w:rPr>
        <w:t>(</w:t>
      </w:r>
      <w:r w:rsidR="002C30AA" w:rsidRPr="003B0749">
        <w:rPr>
          <w:rFonts w:ascii="Verdana" w:hAnsi="Verdana"/>
          <w:bCs/>
          <w:i/>
          <w:sz w:val="18"/>
          <w:szCs w:val="18"/>
        </w:rPr>
        <w:t>b</w:t>
      </w:r>
      <w:r w:rsidRPr="003B0749">
        <w:rPr>
          <w:rFonts w:ascii="Verdana" w:hAnsi="Verdana"/>
          <w:bCs/>
          <w:i/>
          <w:sz w:val="18"/>
          <w:szCs w:val="18"/>
        </w:rPr>
        <w:t>)</w:t>
      </w:r>
      <w:r w:rsidR="002C30AA" w:rsidRPr="003B0749">
        <w:rPr>
          <w:rFonts w:ascii="Verdana" w:hAnsi="Verdana"/>
          <w:bCs/>
          <w:i/>
          <w:sz w:val="18"/>
          <w:szCs w:val="18"/>
        </w:rPr>
        <w:t xml:space="preserve"> Ingevolge het wetsvoorstel op te nemen criteria voor aanwijzing van staten en de gevolgen daarvan </w:t>
      </w:r>
    </w:p>
    <w:p w:rsidR="002C30AA" w:rsidRPr="00AD55C1" w:rsidRDefault="002C30AA" w:rsidP="00AD55C1">
      <w:pPr>
        <w:spacing w:line="260" w:lineRule="exact"/>
        <w:rPr>
          <w:rFonts w:ascii="Verdana" w:hAnsi="Verdana"/>
          <w:sz w:val="18"/>
          <w:szCs w:val="18"/>
        </w:rPr>
      </w:pPr>
    </w:p>
    <w:p w:rsidR="00636AC1" w:rsidRDefault="002C30AA" w:rsidP="005B1B96">
      <w:pPr>
        <w:spacing w:line="260" w:lineRule="exact"/>
        <w:rPr>
          <w:rFonts w:ascii="Verdana" w:hAnsi="Verdana"/>
          <w:sz w:val="18"/>
          <w:szCs w:val="18"/>
        </w:rPr>
      </w:pPr>
      <w:r w:rsidRPr="00AD55C1">
        <w:rPr>
          <w:rFonts w:ascii="Verdana" w:hAnsi="Verdana"/>
          <w:sz w:val="18"/>
          <w:szCs w:val="18"/>
        </w:rPr>
        <w:t xml:space="preserve">Voorgesteld wordt </w:t>
      </w:r>
      <w:r w:rsidR="008F3E43">
        <w:rPr>
          <w:rFonts w:ascii="Verdana" w:hAnsi="Verdana"/>
          <w:sz w:val="18"/>
          <w:szCs w:val="18"/>
        </w:rPr>
        <w:t xml:space="preserve">in lagere regelgeving </w:t>
      </w:r>
      <w:r w:rsidRPr="00AD55C1">
        <w:rPr>
          <w:rFonts w:ascii="Verdana" w:hAnsi="Verdana"/>
          <w:sz w:val="18"/>
          <w:szCs w:val="18"/>
        </w:rPr>
        <w:t xml:space="preserve">nadere regels </w:t>
      </w:r>
      <w:r w:rsidR="008F3E43">
        <w:rPr>
          <w:rFonts w:ascii="Verdana" w:hAnsi="Verdana"/>
          <w:sz w:val="18"/>
          <w:szCs w:val="18"/>
        </w:rPr>
        <w:t xml:space="preserve">te stellen </w:t>
      </w:r>
      <w:r w:rsidRPr="00AD55C1">
        <w:rPr>
          <w:rFonts w:ascii="Verdana" w:hAnsi="Verdana"/>
          <w:sz w:val="18"/>
          <w:szCs w:val="18"/>
        </w:rPr>
        <w:t xml:space="preserve">met betrekking tot het aanwijzen van staten. Daarmee wordt aangesloten bij de systematiek die in andere artikelen is gevolgd, bijvoorbeeld artikel 2:6, tweede lid, van de Wft. </w:t>
      </w:r>
    </w:p>
    <w:p w:rsidR="00636AC1" w:rsidRDefault="00636AC1" w:rsidP="005B1B96">
      <w:pPr>
        <w:spacing w:line="260" w:lineRule="exact"/>
        <w:rPr>
          <w:rFonts w:ascii="Verdana" w:hAnsi="Verdana"/>
          <w:sz w:val="18"/>
          <w:szCs w:val="18"/>
        </w:rPr>
      </w:pPr>
      <w:r>
        <w:rPr>
          <w:rFonts w:ascii="Verdana" w:hAnsi="Verdana"/>
          <w:sz w:val="18"/>
          <w:szCs w:val="18"/>
        </w:rPr>
        <w:t xml:space="preserve">De in </w:t>
      </w:r>
      <w:r w:rsidRPr="00636AC1">
        <w:rPr>
          <w:rFonts w:ascii="Verdana" w:hAnsi="Verdana"/>
          <w:sz w:val="18"/>
          <w:szCs w:val="18"/>
        </w:rPr>
        <w:t xml:space="preserve">de </w:t>
      </w:r>
      <w:r>
        <w:rPr>
          <w:rFonts w:ascii="Verdana" w:hAnsi="Verdana"/>
          <w:sz w:val="18"/>
          <w:szCs w:val="18"/>
        </w:rPr>
        <w:t xml:space="preserve">aan te wijzen </w:t>
      </w:r>
      <w:r w:rsidRPr="00636AC1">
        <w:rPr>
          <w:rFonts w:ascii="Verdana" w:hAnsi="Verdana"/>
          <w:sz w:val="18"/>
          <w:szCs w:val="18"/>
        </w:rPr>
        <w:t xml:space="preserve">staat geldende regels voor het uitoefenen van het bedrijf van verzekeraar </w:t>
      </w:r>
      <w:r>
        <w:rPr>
          <w:rFonts w:ascii="Verdana" w:hAnsi="Verdana"/>
          <w:sz w:val="18"/>
          <w:szCs w:val="18"/>
        </w:rPr>
        <w:t xml:space="preserve">met beperkte risico-omvang </w:t>
      </w:r>
      <w:r w:rsidRPr="00636AC1">
        <w:rPr>
          <w:rFonts w:ascii="Verdana" w:hAnsi="Verdana"/>
          <w:sz w:val="18"/>
          <w:szCs w:val="18"/>
        </w:rPr>
        <w:t xml:space="preserve">en het toezicht op de naleving daarvan </w:t>
      </w:r>
      <w:r>
        <w:rPr>
          <w:rFonts w:ascii="Verdana" w:hAnsi="Verdana"/>
          <w:sz w:val="18"/>
          <w:szCs w:val="18"/>
        </w:rPr>
        <w:t xml:space="preserve">dienen </w:t>
      </w:r>
      <w:r w:rsidRPr="00636AC1">
        <w:rPr>
          <w:rFonts w:ascii="Verdana" w:hAnsi="Verdana"/>
          <w:sz w:val="18"/>
          <w:szCs w:val="18"/>
        </w:rPr>
        <w:t xml:space="preserve">gelijkwaardig zijn aan </w:t>
      </w:r>
      <w:r>
        <w:rPr>
          <w:rFonts w:ascii="Verdana" w:hAnsi="Verdana"/>
          <w:sz w:val="18"/>
          <w:szCs w:val="18"/>
        </w:rPr>
        <w:t xml:space="preserve">bijvoorbeeld de regels met betrekking tot </w:t>
      </w:r>
      <w:r w:rsidRPr="00636AC1">
        <w:rPr>
          <w:rFonts w:ascii="Verdana" w:hAnsi="Verdana"/>
          <w:sz w:val="18"/>
          <w:szCs w:val="18"/>
        </w:rPr>
        <w:t xml:space="preserve"> deskundigheid en betrouwbaarheid</w:t>
      </w:r>
      <w:r>
        <w:rPr>
          <w:rFonts w:ascii="Verdana" w:hAnsi="Verdana"/>
          <w:sz w:val="18"/>
          <w:szCs w:val="18"/>
        </w:rPr>
        <w:t xml:space="preserve"> en de financiële waarborgen.</w:t>
      </w:r>
    </w:p>
    <w:p w:rsidR="002C30AA" w:rsidRPr="00AD55C1" w:rsidRDefault="00636AC1" w:rsidP="008F3E43">
      <w:pPr>
        <w:spacing w:line="260" w:lineRule="exact"/>
        <w:rPr>
          <w:rFonts w:ascii="Verdana" w:hAnsi="Verdana"/>
          <w:sz w:val="18"/>
          <w:szCs w:val="18"/>
        </w:rPr>
      </w:pPr>
      <w:r>
        <w:rPr>
          <w:rFonts w:ascii="Verdana" w:hAnsi="Verdana"/>
          <w:sz w:val="18"/>
          <w:szCs w:val="18"/>
        </w:rPr>
        <w:t xml:space="preserve">Voorts kan worden gedacht </w:t>
      </w:r>
      <w:r w:rsidR="005B1B96">
        <w:rPr>
          <w:rFonts w:ascii="Verdana" w:hAnsi="Verdana"/>
          <w:sz w:val="18"/>
          <w:szCs w:val="18"/>
        </w:rPr>
        <w:t>aan afspraken tussen de toezichthoude</w:t>
      </w:r>
      <w:r w:rsidR="008F3E43">
        <w:rPr>
          <w:rFonts w:ascii="Verdana" w:hAnsi="Verdana"/>
          <w:sz w:val="18"/>
          <w:szCs w:val="18"/>
        </w:rPr>
        <w:t xml:space="preserve">rs (de AFM en DNB) en </w:t>
      </w:r>
      <w:r w:rsidR="002C30AA" w:rsidRPr="00AD55C1">
        <w:rPr>
          <w:rFonts w:ascii="Verdana" w:hAnsi="Verdana"/>
          <w:sz w:val="18"/>
          <w:szCs w:val="18"/>
        </w:rPr>
        <w:t xml:space="preserve">de toezichthouder of toezichthouders van de desbetreffende staat, inzake informatie-uitwisseling, samenwerking en bevoegdheidsverdeling, zodat de AFM en DNB de belangen die de wet beoogt te beschermen, ook daadwerkelijk in voldoende mate kunnen beschermen. Het bestaan van een Memorandum of Understanding (MoU) wordt in beginsel als voorwaarde gesteld, </w:t>
      </w:r>
      <w:r w:rsidR="003B0749">
        <w:rPr>
          <w:rFonts w:ascii="Verdana" w:hAnsi="Verdana"/>
          <w:sz w:val="18"/>
          <w:szCs w:val="18"/>
        </w:rPr>
        <w:t xml:space="preserve">maar </w:t>
      </w:r>
      <w:r w:rsidR="002C30AA" w:rsidRPr="00AD55C1">
        <w:rPr>
          <w:rFonts w:ascii="Verdana" w:hAnsi="Verdana"/>
          <w:sz w:val="18"/>
          <w:szCs w:val="18"/>
        </w:rPr>
        <w:t xml:space="preserve">in uitzonderlijke gevallen moet </w:t>
      </w:r>
      <w:r w:rsidR="00D46C7A" w:rsidRPr="00AD55C1">
        <w:rPr>
          <w:rFonts w:ascii="Verdana" w:hAnsi="Verdana"/>
          <w:sz w:val="18"/>
          <w:szCs w:val="18"/>
        </w:rPr>
        <w:t xml:space="preserve">de mogelijkheid </w:t>
      </w:r>
      <w:r w:rsidR="002C30AA" w:rsidRPr="00AD55C1">
        <w:rPr>
          <w:rFonts w:ascii="Verdana" w:hAnsi="Verdana"/>
          <w:sz w:val="18"/>
          <w:szCs w:val="18"/>
        </w:rPr>
        <w:t xml:space="preserve">bestaan dat een staat wordt aangewezen zonder dat met de toezichthouders daarvan een MoU is gesloten. Welke uitzonderlijke gevallen dat zijn, kan nu nog niet worden gezegd. De Minister van Financiën hoort de AFM en DNB alvorens hij een staat aanwijst. De gevolgen van de aanwijzing van een staat zijn dat basic-verzekeraars met zetel in die staat geen vergunning van DNB behoeven te hebben voor de uitoefening van het verzekeringsbedrijf. </w:t>
      </w:r>
    </w:p>
    <w:p w:rsidR="00DB031B" w:rsidRPr="00AD55C1" w:rsidRDefault="00DB031B" w:rsidP="00AD55C1">
      <w:pPr>
        <w:spacing w:line="260" w:lineRule="exact"/>
        <w:rPr>
          <w:rFonts w:ascii="Verdana" w:hAnsi="Verdana"/>
          <w:sz w:val="18"/>
          <w:szCs w:val="18"/>
        </w:rPr>
      </w:pPr>
    </w:p>
    <w:p w:rsidR="00DB031B" w:rsidRPr="003B0749" w:rsidRDefault="003B0749" w:rsidP="00AD55C1">
      <w:pPr>
        <w:spacing w:line="260" w:lineRule="exact"/>
        <w:rPr>
          <w:rFonts w:ascii="Verdana" w:hAnsi="Verdana"/>
          <w:i/>
          <w:sz w:val="18"/>
          <w:szCs w:val="18"/>
        </w:rPr>
      </w:pPr>
      <w:r w:rsidRPr="003B0749">
        <w:rPr>
          <w:rFonts w:ascii="Verdana" w:hAnsi="Verdana"/>
          <w:i/>
          <w:sz w:val="18"/>
          <w:szCs w:val="18"/>
        </w:rPr>
        <w:t>(</w:t>
      </w:r>
      <w:r w:rsidR="00DB031B" w:rsidRPr="003B0749">
        <w:rPr>
          <w:rFonts w:ascii="Verdana" w:hAnsi="Verdana"/>
          <w:i/>
          <w:sz w:val="18"/>
          <w:szCs w:val="18"/>
        </w:rPr>
        <w:t>c</w:t>
      </w:r>
      <w:r w:rsidRPr="003B0749">
        <w:rPr>
          <w:rFonts w:ascii="Verdana" w:hAnsi="Verdana"/>
          <w:i/>
          <w:sz w:val="18"/>
          <w:szCs w:val="18"/>
        </w:rPr>
        <w:t>)</w:t>
      </w:r>
      <w:r w:rsidR="00DB031B" w:rsidRPr="003B0749">
        <w:rPr>
          <w:rFonts w:ascii="Verdana" w:hAnsi="Verdana"/>
          <w:i/>
          <w:sz w:val="18"/>
          <w:szCs w:val="18"/>
        </w:rPr>
        <w:t xml:space="preserve"> Gevolgen voor de Wft en </w:t>
      </w:r>
      <w:r w:rsidR="008F1683" w:rsidRPr="003B0749">
        <w:rPr>
          <w:rFonts w:ascii="Verdana" w:hAnsi="Verdana"/>
          <w:i/>
          <w:sz w:val="18"/>
          <w:szCs w:val="18"/>
        </w:rPr>
        <w:t xml:space="preserve">de </w:t>
      </w:r>
      <w:r w:rsidR="00DB031B" w:rsidRPr="003B0749">
        <w:rPr>
          <w:rFonts w:ascii="Verdana" w:hAnsi="Verdana"/>
          <w:i/>
          <w:sz w:val="18"/>
          <w:szCs w:val="18"/>
        </w:rPr>
        <w:t>Faillissementswet</w:t>
      </w:r>
    </w:p>
    <w:p w:rsidR="000B064C" w:rsidRPr="00AD55C1" w:rsidRDefault="000B064C" w:rsidP="00AD55C1">
      <w:pPr>
        <w:spacing w:line="260" w:lineRule="exact"/>
        <w:rPr>
          <w:rFonts w:ascii="Verdana" w:hAnsi="Verdana"/>
          <w:sz w:val="18"/>
          <w:szCs w:val="18"/>
        </w:rPr>
      </w:pPr>
    </w:p>
    <w:p w:rsidR="00E04E2E" w:rsidRPr="00AD55C1" w:rsidRDefault="00E04E2E" w:rsidP="00AD55C1">
      <w:pPr>
        <w:spacing w:line="260" w:lineRule="exact"/>
        <w:rPr>
          <w:rFonts w:ascii="Verdana" w:hAnsi="Verdana"/>
          <w:sz w:val="18"/>
          <w:szCs w:val="18"/>
        </w:rPr>
      </w:pPr>
      <w:r w:rsidRPr="00AD55C1">
        <w:rPr>
          <w:rFonts w:ascii="Verdana" w:hAnsi="Verdana"/>
          <w:sz w:val="18"/>
          <w:szCs w:val="18"/>
        </w:rPr>
        <w:t>In de Wft zullen de paragrafen die nu nog alleen betrekking hebben op natura-uitvaartverzekeraars voortaan betrekking hebben op alle verzekeraars met beperkte risico-omvang. Dit noopt tevens tot een groot aantal aanpassingen van de Wft</w:t>
      </w:r>
      <w:r w:rsidR="00D845C9" w:rsidRPr="00AD55C1">
        <w:rPr>
          <w:rFonts w:ascii="Verdana" w:hAnsi="Verdana"/>
          <w:sz w:val="18"/>
          <w:szCs w:val="18"/>
        </w:rPr>
        <w:t xml:space="preserve">. Zo zal veelal in de desbetreffende artikelen moeten </w:t>
      </w:r>
      <w:r w:rsidR="00D46C7A">
        <w:rPr>
          <w:rFonts w:ascii="Verdana" w:hAnsi="Verdana"/>
          <w:sz w:val="18"/>
          <w:szCs w:val="18"/>
        </w:rPr>
        <w:t xml:space="preserve">worden </w:t>
      </w:r>
      <w:r w:rsidR="00D845C9" w:rsidRPr="00AD55C1">
        <w:rPr>
          <w:rFonts w:ascii="Verdana" w:hAnsi="Verdana"/>
          <w:sz w:val="18"/>
          <w:szCs w:val="18"/>
        </w:rPr>
        <w:t xml:space="preserve">aangegeven welke soort verzekeraar het betreft, namelijk verzekeraars met een Solvency II vergunning dan wel verzekeraars met beperkte risico-omvang. De gekozen systematiek betekent dat een aantal aanpassingen vervat in de Implementatiewet richtlijn </w:t>
      </w:r>
      <w:r w:rsidR="003167F3" w:rsidRPr="00AD55C1">
        <w:rPr>
          <w:rFonts w:ascii="Verdana" w:hAnsi="Verdana"/>
          <w:sz w:val="18"/>
          <w:szCs w:val="18"/>
        </w:rPr>
        <w:t>solvabiliteit</w:t>
      </w:r>
      <w:r w:rsidR="00D845C9" w:rsidRPr="00AD55C1">
        <w:rPr>
          <w:rFonts w:ascii="Verdana" w:hAnsi="Verdana"/>
          <w:sz w:val="18"/>
          <w:szCs w:val="18"/>
        </w:rPr>
        <w:t xml:space="preserve"> II k</w:t>
      </w:r>
      <w:r w:rsidR="008F1683">
        <w:rPr>
          <w:rFonts w:ascii="Verdana" w:hAnsi="Verdana"/>
          <w:sz w:val="18"/>
          <w:szCs w:val="18"/>
        </w:rPr>
        <w:t xml:space="preserve">an </w:t>
      </w:r>
      <w:r w:rsidR="00D845C9" w:rsidRPr="00AD55C1">
        <w:rPr>
          <w:rFonts w:ascii="Verdana" w:hAnsi="Verdana"/>
          <w:sz w:val="18"/>
          <w:szCs w:val="18"/>
        </w:rPr>
        <w:t>vervallen</w:t>
      </w:r>
      <w:r w:rsidR="00B82B08" w:rsidRPr="00AD55C1">
        <w:rPr>
          <w:rFonts w:ascii="Verdana" w:hAnsi="Verdana"/>
          <w:sz w:val="18"/>
          <w:szCs w:val="18"/>
        </w:rPr>
        <w:t xml:space="preserve">. De artikelen </w:t>
      </w:r>
      <w:r w:rsidRPr="00AD55C1">
        <w:rPr>
          <w:rFonts w:ascii="Verdana" w:hAnsi="Verdana"/>
          <w:sz w:val="18"/>
          <w:szCs w:val="18"/>
        </w:rPr>
        <w:t>over de vergunningverlening (art</w:t>
      </w:r>
      <w:r w:rsidR="008D4352" w:rsidRPr="00AD55C1">
        <w:rPr>
          <w:rFonts w:ascii="Verdana" w:hAnsi="Verdana"/>
          <w:sz w:val="18"/>
          <w:szCs w:val="18"/>
        </w:rPr>
        <w:t>ikelen</w:t>
      </w:r>
      <w:r w:rsidRPr="00AD55C1">
        <w:rPr>
          <w:rFonts w:ascii="Verdana" w:hAnsi="Verdana"/>
          <w:sz w:val="18"/>
          <w:szCs w:val="18"/>
        </w:rPr>
        <w:t xml:space="preserve"> 2:27, eerste lid, en 2:40, eerste lid, van de Wft)</w:t>
      </w:r>
      <w:r w:rsidR="00B82B08" w:rsidRPr="00AD55C1">
        <w:rPr>
          <w:rFonts w:ascii="Verdana" w:hAnsi="Verdana"/>
          <w:sz w:val="18"/>
          <w:szCs w:val="18"/>
        </w:rPr>
        <w:t xml:space="preserve"> kunnen deels ongewijzigd blijven</w:t>
      </w:r>
      <w:r w:rsidRPr="00AD55C1">
        <w:rPr>
          <w:rFonts w:ascii="Verdana" w:hAnsi="Verdana"/>
          <w:sz w:val="18"/>
          <w:szCs w:val="18"/>
        </w:rPr>
        <w:t xml:space="preserve">. Ook zullen artikelen moeten worden verplaatst zoals de artikelen over de vrijstellingen naar de paragrafen over verzekeraars met beperkte risico-omvang. </w:t>
      </w:r>
      <w:r w:rsidR="00B82B08" w:rsidRPr="00AD55C1">
        <w:rPr>
          <w:rFonts w:ascii="Verdana" w:hAnsi="Verdana"/>
          <w:sz w:val="18"/>
          <w:szCs w:val="18"/>
        </w:rPr>
        <w:t xml:space="preserve">Verzekeraars die onder de reikwijdte van de richtlijn solvabiliteit II vallen, kunnen geen vrijstelling krijgen. </w:t>
      </w:r>
      <w:r w:rsidRPr="00AD55C1">
        <w:rPr>
          <w:rFonts w:ascii="Verdana" w:hAnsi="Verdana"/>
          <w:sz w:val="18"/>
          <w:szCs w:val="18"/>
        </w:rPr>
        <w:t xml:space="preserve">Ook zal een aantal verwijzingen moeten worden aangepast. Bij elkaar betreft het </w:t>
      </w:r>
      <w:r w:rsidR="00B82B08" w:rsidRPr="00AD55C1">
        <w:rPr>
          <w:rFonts w:ascii="Verdana" w:hAnsi="Verdana"/>
          <w:sz w:val="18"/>
          <w:szCs w:val="18"/>
        </w:rPr>
        <w:t xml:space="preserve">weliswaar </w:t>
      </w:r>
      <w:r w:rsidRPr="00AD55C1">
        <w:rPr>
          <w:rFonts w:ascii="Verdana" w:hAnsi="Verdana"/>
          <w:sz w:val="18"/>
          <w:szCs w:val="18"/>
        </w:rPr>
        <w:t xml:space="preserve">een groot aantal wijzingen, die evenwel materieel gezien </w:t>
      </w:r>
      <w:r w:rsidR="00B82B08" w:rsidRPr="00AD55C1">
        <w:rPr>
          <w:rFonts w:ascii="Verdana" w:hAnsi="Verdana"/>
          <w:sz w:val="18"/>
          <w:szCs w:val="18"/>
        </w:rPr>
        <w:t xml:space="preserve">niet van grote </w:t>
      </w:r>
      <w:r w:rsidRPr="00AD55C1">
        <w:rPr>
          <w:rFonts w:ascii="Verdana" w:hAnsi="Verdana"/>
          <w:sz w:val="18"/>
          <w:szCs w:val="18"/>
        </w:rPr>
        <w:t>betekenis zijn.</w:t>
      </w:r>
    </w:p>
    <w:p w:rsidR="0000350F" w:rsidRPr="00AD55C1" w:rsidRDefault="002C30AA" w:rsidP="00AD55C1">
      <w:pPr>
        <w:spacing w:line="260" w:lineRule="exact"/>
        <w:rPr>
          <w:rFonts w:ascii="Verdana" w:hAnsi="Verdana"/>
          <w:sz w:val="18"/>
          <w:szCs w:val="18"/>
        </w:rPr>
      </w:pPr>
      <w:r w:rsidRPr="00AD55C1">
        <w:rPr>
          <w:rFonts w:ascii="Verdana" w:hAnsi="Verdana"/>
          <w:sz w:val="18"/>
          <w:szCs w:val="18"/>
        </w:rPr>
        <w:t xml:space="preserve">De hiervoor geschetste </w:t>
      </w:r>
      <w:r w:rsidR="00E04E2E" w:rsidRPr="00AD55C1">
        <w:rPr>
          <w:rFonts w:ascii="Verdana" w:hAnsi="Verdana"/>
          <w:sz w:val="18"/>
          <w:szCs w:val="18"/>
        </w:rPr>
        <w:t xml:space="preserve">aanpassingen zullen ook </w:t>
      </w:r>
      <w:r w:rsidRPr="00AD55C1">
        <w:rPr>
          <w:rFonts w:ascii="Verdana" w:hAnsi="Verdana"/>
          <w:sz w:val="18"/>
          <w:szCs w:val="18"/>
        </w:rPr>
        <w:t xml:space="preserve">in de Faillissementswet worden opgenomen. </w:t>
      </w:r>
      <w:r w:rsidR="00E04E2E" w:rsidRPr="00AD55C1">
        <w:rPr>
          <w:rFonts w:ascii="Verdana" w:hAnsi="Verdana"/>
          <w:sz w:val="18"/>
          <w:szCs w:val="18"/>
        </w:rPr>
        <w:t xml:space="preserve">Ook hier </w:t>
      </w:r>
      <w:r w:rsidRPr="00AD55C1">
        <w:rPr>
          <w:rFonts w:ascii="Verdana" w:hAnsi="Verdana"/>
          <w:sz w:val="18"/>
          <w:szCs w:val="18"/>
        </w:rPr>
        <w:t xml:space="preserve">zullen </w:t>
      </w:r>
      <w:r w:rsidR="008D4352" w:rsidRPr="00AD55C1">
        <w:rPr>
          <w:rFonts w:ascii="Verdana" w:hAnsi="Verdana"/>
          <w:sz w:val="18"/>
          <w:szCs w:val="18"/>
        </w:rPr>
        <w:t xml:space="preserve">bijvoorbeeld </w:t>
      </w:r>
      <w:r w:rsidRPr="00AD55C1">
        <w:rPr>
          <w:rFonts w:ascii="Verdana" w:hAnsi="Verdana"/>
          <w:sz w:val="18"/>
          <w:szCs w:val="18"/>
        </w:rPr>
        <w:t xml:space="preserve">de paragrafen die nu nog alleen betrekking hebben op natura-uitvaartverzekeraars </w:t>
      </w:r>
      <w:r w:rsidR="00E04E2E" w:rsidRPr="00AD55C1">
        <w:rPr>
          <w:rFonts w:ascii="Verdana" w:hAnsi="Verdana"/>
          <w:sz w:val="18"/>
          <w:szCs w:val="18"/>
        </w:rPr>
        <w:t xml:space="preserve">voortaan betrekking </w:t>
      </w:r>
      <w:r w:rsidR="008D4352" w:rsidRPr="00AD55C1">
        <w:rPr>
          <w:rFonts w:ascii="Verdana" w:hAnsi="Verdana"/>
          <w:sz w:val="18"/>
          <w:szCs w:val="18"/>
        </w:rPr>
        <w:t xml:space="preserve">moeten </w:t>
      </w:r>
      <w:r w:rsidR="00E04E2E" w:rsidRPr="00AD55C1">
        <w:rPr>
          <w:rFonts w:ascii="Verdana" w:hAnsi="Verdana"/>
          <w:sz w:val="18"/>
          <w:szCs w:val="18"/>
        </w:rPr>
        <w:t xml:space="preserve">hebben </w:t>
      </w:r>
      <w:r w:rsidRPr="00AD55C1">
        <w:rPr>
          <w:rFonts w:ascii="Verdana" w:hAnsi="Verdana"/>
          <w:sz w:val="18"/>
          <w:szCs w:val="18"/>
        </w:rPr>
        <w:t>op alle verzekeraars met beperkte risico-omvang.</w:t>
      </w:r>
    </w:p>
    <w:p w:rsidR="0000350F" w:rsidRPr="00AD55C1" w:rsidRDefault="0000350F" w:rsidP="00AD55C1">
      <w:pPr>
        <w:spacing w:line="260" w:lineRule="exact"/>
        <w:rPr>
          <w:rFonts w:ascii="Verdana" w:hAnsi="Verdana"/>
          <w:sz w:val="18"/>
          <w:szCs w:val="18"/>
        </w:rPr>
      </w:pPr>
    </w:p>
    <w:p w:rsidR="0035076D" w:rsidRPr="00AD55C1" w:rsidRDefault="002C30AA" w:rsidP="00AD55C1">
      <w:pPr>
        <w:spacing w:line="260" w:lineRule="exact"/>
        <w:rPr>
          <w:rFonts w:ascii="Verdana" w:hAnsi="Verdana"/>
          <w:sz w:val="18"/>
          <w:szCs w:val="18"/>
        </w:rPr>
      </w:pPr>
      <w:r w:rsidRPr="00AD55C1">
        <w:rPr>
          <w:rFonts w:ascii="Verdana" w:hAnsi="Verdana"/>
          <w:b/>
          <w:i/>
          <w:sz w:val="18"/>
          <w:szCs w:val="18"/>
        </w:rPr>
        <w:t>6.</w:t>
      </w:r>
      <w:r w:rsidRPr="00AD55C1">
        <w:rPr>
          <w:rFonts w:ascii="Verdana" w:hAnsi="Verdana"/>
          <w:sz w:val="18"/>
          <w:szCs w:val="18"/>
        </w:rPr>
        <w:t xml:space="preserve"> </w:t>
      </w:r>
      <w:r w:rsidR="0035076D" w:rsidRPr="00AD55C1">
        <w:rPr>
          <w:rFonts w:ascii="Verdana" w:hAnsi="Verdana"/>
          <w:b/>
          <w:i/>
          <w:sz w:val="18"/>
          <w:szCs w:val="18"/>
        </w:rPr>
        <w:t>Administratieve lasten</w:t>
      </w:r>
    </w:p>
    <w:p w:rsidR="00FF63E9" w:rsidRPr="00AD55C1" w:rsidRDefault="00FF63E9" w:rsidP="00AD55C1">
      <w:pPr>
        <w:spacing w:line="260" w:lineRule="exact"/>
        <w:rPr>
          <w:rFonts w:ascii="Verdana" w:hAnsi="Verdana"/>
          <w:sz w:val="18"/>
          <w:szCs w:val="18"/>
        </w:rPr>
      </w:pPr>
      <w:r w:rsidRPr="00AD55C1">
        <w:rPr>
          <w:rFonts w:ascii="Verdana" w:hAnsi="Verdana"/>
          <w:sz w:val="18"/>
          <w:szCs w:val="18"/>
        </w:rPr>
        <w:t xml:space="preserve">Uit de implementatie van de Omnibus II-richtlijn vloeien geen administratieve lasten voort. Weliswaar volgt uit de implementatie van de Omnibus II-richtlijn dat verzekeraars op andere wijze moeten gaan rapporteren, maar de administratieve lasten die met deze eenmalige systeemwijziging gepaard gaan, zijn al meegenomen in het Wijzigingsbesluit financiële markten 2015. In dit laatste besluit </w:t>
      </w:r>
      <w:r w:rsidR="00D46C7A">
        <w:rPr>
          <w:rFonts w:ascii="Verdana" w:hAnsi="Verdana"/>
          <w:sz w:val="18"/>
          <w:szCs w:val="18"/>
        </w:rPr>
        <w:t xml:space="preserve">is </w:t>
      </w:r>
      <w:r w:rsidR="00604137" w:rsidRPr="00AD55C1">
        <w:rPr>
          <w:rFonts w:ascii="Verdana" w:hAnsi="Verdana"/>
          <w:sz w:val="18"/>
          <w:szCs w:val="18"/>
        </w:rPr>
        <w:t>al voorgesorteerd op de volledige invoering van de richtlijn solvabiliteit II, door</w:t>
      </w:r>
      <w:r w:rsidRPr="00AD55C1">
        <w:rPr>
          <w:rFonts w:ascii="Verdana" w:hAnsi="Verdana"/>
          <w:sz w:val="18"/>
          <w:szCs w:val="18"/>
        </w:rPr>
        <w:t xml:space="preserve"> </w:t>
      </w:r>
      <w:r w:rsidR="00604137" w:rsidRPr="00AD55C1">
        <w:rPr>
          <w:rFonts w:ascii="Verdana" w:hAnsi="Verdana"/>
          <w:sz w:val="18"/>
          <w:szCs w:val="18"/>
        </w:rPr>
        <w:t>al de nodige</w:t>
      </w:r>
      <w:r w:rsidRPr="00AD55C1">
        <w:rPr>
          <w:rFonts w:ascii="Verdana" w:hAnsi="Verdana"/>
          <w:sz w:val="18"/>
          <w:szCs w:val="18"/>
        </w:rPr>
        <w:t xml:space="preserve"> aanpassingen in de bedrijfsvoering </w:t>
      </w:r>
      <w:r w:rsidR="00604137" w:rsidRPr="00AD55C1">
        <w:rPr>
          <w:rFonts w:ascii="Verdana" w:hAnsi="Verdana"/>
          <w:sz w:val="18"/>
          <w:szCs w:val="18"/>
        </w:rPr>
        <w:t xml:space="preserve">voor te stellen die per 1 januari 2015 al ingaan. De bedoeling is namelijk dat verzekeraars die binnen de reikwijdte van de richtlijn solvabiliteit II vallen, al in 2015 gaan “proefdraaien” met hun systemen en met het invullen van de benodigde toezichtstaten op basis van de nieuwe regels. </w:t>
      </w:r>
      <w:r w:rsidR="00D90926" w:rsidRPr="00AD55C1">
        <w:rPr>
          <w:rFonts w:ascii="Verdana" w:hAnsi="Verdana"/>
          <w:sz w:val="18"/>
          <w:szCs w:val="18"/>
        </w:rPr>
        <w:t xml:space="preserve">Hierdoor heeft </w:t>
      </w:r>
      <w:r w:rsidR="00604137" w:rsidRPr="00AD55C1">
        <w:rPr>
          <w:rFonts w:ascii="Verdana" w:hAnsi="Verdana"/>
          <w:sz w:val="18"/>
          <w:szCs w:val="18"/>
        </w:rPr>
        <w:t>de eenmalige systeemaanpassing die ervoor zorgt dat verzekeraars aan de rapportage-eisen kunnen voldoen</w:t>
      </w:r>
      <w:r w:rsidR="00D90926" w:rsidRPr="00AD55C1">
        <w:rPr>
          <w:rFonts w:ascii="Verdana" w:hAnsi="Verdana"/>
          <w:sz w:val="18"/>
          <w:szCs w:val="18"/>
        </w:rPr>
        <w:t>, al plaatsgevonden</w:t>
      </w:r>
      <w:r w:rsidR="00604137" w:rsidRPr="00AD55C1">
        <w:rPr>
          <w:rFonts w:ascii="Verdana" w:hAnsi="Verdana"/>
          <w:sz w:val="18"/>
          <w:szCs w:val="18"/>
        </w:rPr>
        <w:t>.</w:t>
      </w:r>
      <w:r w:rsidRPr="00AD55C1">
        <w:rPr>
          <w:rFonts w:ascii="Verdana" w:hAnsi="Verdana"/>
          <w:sz w:val="18"/>
          <w:szCs w:val="18"/>
        </w:rPr>
        <w:t xml:space="preserve"> </w:t>
      </w:r>
    </w:p>
    <w:p w:rsidR="001F5610" w:rsidRPr="00AD55C1" w:rsidRDefault="001F5610" w:rsidP="00AD55C1">
      <w:pPr>
        <w:spacing w:line="260" w:lineRule="exact"/>
        <w:rPr>
          <w:rFonts w:ascii="Verdana" w:hAnsi="Verdana"/>
          <w:sz w:val="18"/>
          <w:szCs w:val="18"/>
        </w:rPr>
      </w:pPr>
    </w:p>
    <w:p w:rsidR="006C4886" w:rsidRPr="003167F3" w:rsidRDefault="002C30AA" w:rsidP="00AD55C1">
      <w:pPr>
        <w:spacing w:line="260" w:lineRule="exact"/>
        <w:rPr>
          <w:rFonts w:ascii="Verdana" w:hAnsi="Verdana"/>
          <w:b/>
          <w:i/>
          <w:sz w:val="18"/>
          <w:szCs w:val="18"/>
        </w:rPr>
      </w:pPr>
      <w:r w:rsidRPr="003167F3">
        <w:rPr>
          <w:rFonts w:ascii="Verdana" w:hAnsi="Verdana"/>
          <w:b/>
          <w:i/>
          <w:sz w:val="18"/>
          <w:szCs w:val="18"/>
        </w:rPr>
        <w:t>7</w:t>
      </w:r>
      <w:r w:rsidR="00742C67" w:rsidRPr="003167F3">
        <w:rPr>
          <w:rFonts w:ascii="Verdana" w:hAnsi="Verdana"/>
          <w:b/>
          <w:i/>
          <w:sz w:val="18"/>
          <w:szCs w:val="18"/>
        </w:rPr>
        <w:t>. Consultatiereactie</w:t>
      </w:r>
    </w:p>
    <w:p w:rsidR="00742C67" w:rsidRPr="00AD55C1" w:rsidRDefault="00BC6E60" w:rsidP="00AD55C1">
      <w:pPr>
        <w:spacing w:line="260" w:lineRule="exact"/>
        <w:rPr>
          <w:rFonts w:ascii="Verdana" w:hAnsi="Verdana"/>
          <w:sz w:val="18"/>
          <w:szCs w:val="18"/>
        </w:rPr>
      </w:pPr>
      <w:r w:rsidRPr="00AD55C1">
        <w:rPr>
          <w:rFonts w:ascii="Verdana" w:hAnsi="Verdana"/>
          <w:sz w:val="18"/>
          <w:szCs w:val="18"/>
        </w:rPr>
        <w:t>Er is slechts een consultatiereactie ontvangen, namelijk die van het Verbond</w:t>
      </w:r>
      <w:r w:rsidR="008F1683">
        <w:rPr>
          <w:rFonts w:ascii="Verdana" w:hAnsi="Verdana"/>
          <w:sz w:val="18"/>
          <w:szCs w:val="18"/>
        </w:rPr>
        <w:t xml:space="preserve"> van Verzekeraars</w:t>
      </w:r>
      <w:r w:rsidRPr="00AD55C1">
        <w:rPr>
          <w:rFonts w:ascii="Verdana" w:hAnsi="Verdana"/>
          <w:sz w:val="18"/>
          <w:szCs w:val="18"/>
        </w:rPr>
        <w:t xml:space="preserve">. </w:t>
      </w:r>
      <w:r w:rsidR="00742C67" w:rsidRPr="00AD55C1">
        <w:rPr>
          <w:rFonts w:ascii="Verdana" w:hAnsi="Verdana"/>
          <w:sz w:val="18"/>
          <w:szCs w:val="18"/>
        </w:rPr>
        <w:t xml:space="preserve">Naar aanleiding van het verzoek van het Verbond van Verzekeraars over uitleg </w:t>
      </w:r>
      <w:r w:rsidR="00774EC9" w:rsidRPr="00AD55C1">
        <w:rPr>
          <w:rFonts w:ascii="Verdana" w:hAnsi="Verdana"/>
          <w:sz w:val="18"/>
          <w:szCs w:val="18"/>
        </w:rPr>
        <w:t>van het begrip</w:t>
      </w:r>
      <w:r w:rsidR="00742C67" w:rsidRPr="00AD55C1">
        <w:rPr>
          <w:rFonts w:ascii="Verdana" w:hAnsi="Verdana"/>
          <w:sz w:val="18"/>
          <w:szCs w:val="18"/>
        </w:rPr>
        <w:t xml:space="preserve"> “significant marktaandeel”</w:t>
      </w:r>
      <w:r w:rsidRPr="00AD55C1">
        <w:rPr>
          <w:rFonts w:ascii="Verdana" w:hAnsi="Verdana"/>
          <w:sz w:val="18"/>
          <w:szCs w:val="18"/>
        </w:rPr>
        <w:t xml:space="preserve"> </w:t>
      </w:r>
      <w:r w:rsidR="00742C67" w:rsidRPr="00AD55C1">
        <w:rPr>
          <w:rFonts w:ascii="Verdana" w:hAnsi="Verdana"/>
          <w:sz w:val="18"/>
          <w:szCs w:val="18"/>
        </w:rPr>
        <w:t>en “significant aandeel in de verzekeringsactiviteiten” is de toelichting aangepast.</w:t>
      </w:r>
      <w:r w:rsidR="00F47A16" w:rsidRPr="00AD55C1">
        <w:rPr>
          <w:rFonts w:ascii="Verdana" w:hAnsi="Verdana"/>
          <w:sz w:val="18"/>
          <w:szCs w:val="18"/>
        </w:rPr>
        <w:t xml:space="preserve"> </w:t>
      </w:r>
    </w:p>
    <w:p w:rsidR="00742C67" w:rsidRPr="00AD55C1" w:rsidRDefault="00742C67" w:rsidP="00AD55C1">
      <w:pPr>
        <w:spacing w:line="260" w:lineRule="exact"/>
        <w:rPr>
          <w:rFonts w:ascii="Verdana" w:hAnsi="Verdana"/>
          <w:sz w:val="18"/>
          <w:szCs w:val="18"/>
        </w:rPr>
      </w:pPr>
    </w:p>
    <w:p w:rsidR="00415786" w:rsidRDefault="005C3E9A" w:rsidP="005C3E9A">
      <w:pPr>
        <w:spacing w:line="260" w:lineRule="exact"/>
        <w:rPr>
          <w:rFonts w:ascii="Verdana" w:hAnsi="Verdana"/>
          <w:b/>
          <w:sz w:val="18"/>
          <w:szCs w:val="18"/>
        </w:rPr>
      </w:pPr>
      <w:r>
        <w:rPr>
          <w:rFonts w:ascii="Verdana" w:hAnsi="Verdana"/>
          <w:b/>
          <w:sz w:val="18"/>
          <w:szCs w:val="18"/>
        </w:rPr>
        <w:br w:type="page"/>
      </w:r>
      <w:r w:rsidR="00415786">
        <w:rPr>
          <w:rFonts w:ascii="Verdana" w:hAnsi="Verdana"/>
          <w:b/>
          <w:sz w:val="18"/>
          <w:szCs w:val="18"/>
        </w:rPr>
        <w:lastRenderedPageBreak/>
        <w:t>ARTIKELSGEWIJS</w:t>
      </w:r>
    </w:p>
    <w:p w:rsidR="00415786" w:rsidRDefault="00415786" w:rsidP="005C3E9A">
      <w:pPr>
        <w:spacing w:line="260" w:lineRule="exact"/>
        <w:rPr>
          <w:rFonts w:ascii="Verdana" w:hAnsi="Verdana"/>
          <w:b/>
          <w:sz w:val="18"/>
          <w:szCs w:val="18"/>
        </w:rPr>
      </w:pPr>
    </w:p>
    <w:p w:rsidR="008F1683" w:rsidRDefault="00241B8D" w:rsidP="005C3E9A">
      <w:pPr>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Artikel </w:t>
      </w:r>
      <w:r w:rsidR="00FB28DC" w:rsidRPr="00AD55C1">
        <w:rPr>
          <w:rStyle w:val="Nadrukcursief"/>
          <w:rFonts w:ascii="Verdana" w:hAnsi="Verdana"/>
          <w:iCs w:val="0"/>
          <w:sz w:val="18"/>
          <w:szCs w:val="18"/>
        </w:rPr>
        <w:t>I</w:t>
      </w:r>
    </w:p>
    <w:p w:rsidR="00241B8D" w:rsidRPr="00AD55C1" w:rsidRDefault="00241B8D"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Cs w:val="0"/>
          <w:sz w:val="18"/>
          <w:szCs w:val="18"/>
        </w:rPr>
        <w:t xml:space="preserve">A, onder 1 (artikel I, onderdeel A, van de </w:t>
      </w:r>
      <w:r w:rsidRPr="00AD55C1">
        <w:rPr>
          <w:rFonts w:ascii="Verdana" w:hAnsi="Verdana" w:cs="Verdana"/>
          <w:bCs/>
          <w:i/>
          <w:sz w:val="18"/>
          <w:szCs w:val="18"/>
        </w:rPr>
        <w:t>Implementatiewet richtlijn solvabiliteit II)</w:t>
      </w:r>
    </w:p>
    <w:p w:rsidR="00E04E2E" w:rsidRPr="00AD55C1" w:rsidRDefault="00A3282D" w:rsidP="00AD55C1">
      <w:pPr>
        <w:spacing w:line="260" w:lineRule="exact"/>
        <w:rPr>
          <w:rFonts w:ascii="Verdana" w:hAnsi="Verdana"/>
          <w:sz w:val="18"/>
          <w:szCs w:val="18"/>
        </w:rPr>
      </w:pPr>
      <w:r w:rsidRPr="00AD55C1">
        <w:rPr>
          <w:rStyle w:val="Nadrukcursief"/>
          <w:rFonts w:ascii="Verdana" w:hAnsi="Verdana"/>
          <w:i w:val="0"/>
          <w:iCs w:val="0"/>
          <w:sz w:val="18"/>
          <w:szCs w:val="18"/>
        </w:rPr>
        <w:t xml:space="preserve">De in artikel I, onderdeel A, van de </w:t>
      </w:r>
      <w:r w:rsidRPr="00AD55C1">
        <w:rPr>
          <w:rFonts w:ascii="Verdana" w:hAnsi="Verdana" w:cs="Verdana"/>
          <w:bCs/>
          <w:sz w:val="18"/>
          <w:szCs w:val="18"/>
        </w:rPr>
        <w:t>Implementatiewet richtlijn solvabiliteit II inzake artikel 1:1 Wft</w:t>
      </w:r>
      <w:r w:rsidRPr="00AD55C1">
        <w:rPr>
          <w:rStyle w:val="Nadrukcursief"/>
          <w:rFonts w:ascii="Verdana" w:hAnsi="Verdana"/>
          <w:i w:val="0"/>
          <w:iCs w:val="0"/>
          <w:sz w:val="18"/>
          <w:szCs w:val="18"/>
        </w:rPr>
        <w:t xml:space="preserve"> </w:t>
      </w:r>
      <w:r w:rsidR="000D3271" w:rsidRPr="00AD55C1">
        <w:rPr>
          <w:rStyle w:val="Nadrukcursief"/>
          <w:rFonts w:ascii="Verdana" w:hAnsi="Verdana"/>
          <w:i w:val="0"/>
          <w:iCs w:val="0"/>
          <w:sz w:val="18"/>
          <w:szCs w:val="18"/>
        </w:rPr>
        <w:t xml:space="preserve">opgenomen </w:t>
      </w:r>
      <w:r w:rsidR="00241B8D" w:rsidRPr="00AD55C1">
        <w:rPr>
          <w:rStyle w:val="Nadrukcursief"/>
          <w:rFonts w:ascii="Verdana" w:hAnsi="Verdana"/>
          <w:i w:val="0"/>
          <w:iCs w:val="0"/>
          <w:sz w:val="18"/>
          <w:szCs w:val="18"/>
        </w:rPr>
        <w:t xml:space="preserve">definities “intragroepsovereenkomsten en -posities”, “richtlijngroep” en “richtlijngroepslid” zijn </w:t>
      </w:r>
      <w:r w:rsidR="000D3271" w:rsidRPr="00AD55C1">
        <w:rPr>
          <w:rStyle w:val="Nadrukcursief"/>
          <w:rFonts w:ascii="Verdana" w:hAnsi="Verdana"/>
          <w:i w:val="0"/>
          <w:iCs w:val="0"/>
          <w:sz w:val="18"/>
          <w:szCs w:val="18"/>
        </w:rPr>
        <w:t xml:space="preserve">reeds </w:t>
      </w:r>
      <w:r w:rsidR="00476B1A" w:rsidRPr="00AD55C1">
        <w:rPr>
          <w:rStyle w:val="Nadrukcursief"/>
          <w:rFonts w:ascii="Verdana" w:hAnsi="Verdana"/>
          <w:i w:val="0"/>
          <w:iCs w:val="0"/>
          <w:sz w:val="18"/>
          <w:szCs w:val="18"/>
        </w:rPr>
        <w:t>met ingang van 1 januari 2014</w:t>
      </w:r>
      <w:r w:rsidR="00241B8D" w:rsidRPr="00AD55C1">
        <w:rPr>
          <w:rStyle w:val="Nadrukcursief"/>
          <w:rFonts w:ascii="Verdana" w:hAnsi="Verdana"/>
          <w:i w:val="0"/>
          <w:iCs w:val="0"/>
          <w:sz w:val="18"/>
          <w:szCs w:val="18"/>
        </w:rPr>
        <w:t xml:space="preserve"> </w:t>
      </w:r>
      <w:r w:rsidR="000D3271" w:rsidRPr="00AD55C1">
        <w:rPr>
          <w:rStyle w:val="Nadrukcursief"/>
          <w:rFonts w:ascii="Verdana" w:hAnsi="Verdana"/>
          <w:i w:val="0"/>
          <w:iCs w:val="0"/>
          <w:sz w:val="18"/>
          <w:szCs w:val="18"/>
        </w:rPr>
        <w:t xml:space="preserve">opgenomen in artikel 1:1 van de Wft </w:t>
      </w:r>
      <w:r w:rsidR="00241B8D" w:rsidRPr="00AD55C1">
        <w:rPr>
          <w:rStyle w:val="Nadrukcursief"/>
          <w:rFonts w:ascii="Verdana" w:hAnsi="Verdana"/>
          <w:i w:val="0"/>
          <w:iCs w:val="0"/>
          <w:sz w:val="18"/>
          <w:szCs w:val="18"/>
        </w:rPr>
        <w:t>door de Implementatiewet richtlijn financiële conglomeraten I.</w:t>
      </w:r>
      <w:r w:rsidR="00E04E2E" w:rsidRPr="00AD55C1">
        <w:rPr>
          <w:rStyle w:val="Nadrukcursief"/>
          <w:rFonts w:ascii="Verdana" w:hAnsi="Verdana"/>
          <w:i w:val="0"/>
          <w:iCs w:val="0"/>
          <w:sz w:val="18"/>
          <w:szCs w:val="18"/>
        </w:rPr>
        <w:t xml:space="preserve"> De definities van </w:t>
      </w:r>
      <w:r w:rsidR="00B17E03">
        <w:rPr>
          <w:rStyle w:val="Nadrukcursief"/>
          <w:rFonts w:ascii="Verdana" w:hAnsi="Verdana"/>
          <w:i w:val="0"/>
          <w:iCs w:val="0"/>
          <w:sz w:val="18"/>
          <w:szCs w:val="18"/>
        </w:rPr>
        <w:t xml:space="preserve">“financiële holding”, </w:t>
      </w:r>
      <w:r w:rsidR="00E04E2E" w:rsidRPr="00AD55C1">
        <w:rPr>
          <w:rStyle w:val="Nadrukcursief"/>
          <w:rFonts w:ascii="Verdana" w:hAnsi="Verdana"/>
          <w:i w:val="0"/>
          <w:iCs w:val="0"/>
          <w:sz w:val="18"/>
          <w:szCs w:val="18"/>
        </w:rPr>
        <w:t xml:space="preserve">“gemengde </w:t>
      </w:r>
      <w:r w:rsidR="00914828" w:rsidRPr="00AD55C1">
        <w:rPr>
          <w:rStyle w:val="Nadrukcursief"/>
          <w:rFonts w:ascii="Verdana" w:hAnsi="Verdana"/>
          <w:i w:val="0"/>
          <w:iCs w:val="0"/>
          <w:sz w:val="18"/>
          <w:szCs w:val="18"/>
        </w:rPr>
        <w:t>financiële</w:t>
      </w:r>
      <w:r w:rsidR="00E04E2E" w:rsidRPr="00AD55C1">
        <w:rPr>
          <w:rStyle w:val="Nadrukcursief"/>
          <w:rFonts w:ascii="Verdana" w:hAnsi="Verdana"/>
          <w:i w:val="0"/>
          <w:iCs w:val="0"/>
          <w:sz w:val="18"/>
          <w:szCs w:val="18"/>
        </w:rPr>
        <w:t xml:space="preserve"> holding” en “gemengde holding” zijn reeds in artikel 1:1 opgenomen door de Implementatiewet richtlijn en verordening kapitaalvereisten. </w:t>
      </w:r>
      <w:r w:rsidR="00A512BA" w:rsidRPr="00AD55C1">
        <w:rPr>
          <w:rStyle w:val="Nadrukcursief"/>
          <w:rFonts w:ascii="Verdana" w:hAnsi="Verdana"/>
          <w:i w:val="0"/>
          <w:iCs w:val="0"/>
          <w:sz w:val="18"/>
          <w:szCs w:val="18"/>
        </w:rPr>
        <w:t>Deze definities kunnen hier dus vervallen.</w:t>
      </w:r>
    </w:p>
    <w:p w:rsidR="00241B8D" w:rsidRPr="00AD55C1" w:rsidRDefault="00241B8D" w:rsidP="00AD55C1">
      <w:pPr>
        <w:pStyle w:val="Default"/>
        <w:widowControl w:val="0"/>
        <w:spacing w:line="260" w:lineRule="exact"/>
        <w:rPr>
          <w:rStyle w:val="Nadrukcursief"/>
          <w:rFonts w:ascii="Verdana" w:hAnsi="Verdana"/>
          <w:i w:val="0"/>
          <w:iCs w:val="0"/>
          <w:sz w:val="18"/>
          <w:szCs w:val="18"/>
        </w:rPr>
      </w:pPr>
    </w:p>
    <w:p w:rsidR="00241B8D" w:rsidRPr="00AD55C1" w:rsidRDefault="00241B8D"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Op grond van de definitie van “verzekeringsrichtlijngroep” zoals die nu </w:t>
      </w:r>
      <w:r w:rsidR="00476B1A" w:rsidRPr="00AD55C1">
        <w:rPr>
          <w:rStyle w:val="Nadrukcursief"/>
          <w:rFonts w:ascii="Verdana" w:hAnsi="Verdana"/>
          <w:i w:val="0"/>
          <w:iCs w:val="0"/>
          <w:sz w:val="18"/>
          <w:szCs w:val="18"/>
        </w:rPr>
        <w:t xml:space="preserve">volgens de </w:t>
      </w:r>
      <w:r w:rsidR="00476B1A" w:rsidRPr="00AD55C1">
        <w:rPr>
          <w:rFonts w:ascii="Verdana" w:hAnsi="Verdana" w:cs="Verdana"/>
          <w:bCs/>
          <w:sz w:val="18"/>
          <w:szCs w:val="18"/>
        </w:rPr>
        <w:t>Implementatiewet richtlijn solvabiliteit II</w:t>
      </w:r>
      <w:r w:rsidR="00476B1A" w:rsidRPr="00AD55C1">
        <w:rPr>
          <w:rStyle w:val="Nadrukcursief"/>
          <w:rFonts w:ascii="Verdana" w:hAnsi="Verdana"/>
          <w:i w:val="0"/>
          <w:iCs w:val="0"/>
          <w:sz w:val="18"/>
          <w:szCs w:val="18"/>
        </w:rPr>
        <w:t xml:space="preserve"> </w:t>
      </w:r>
      <w:r w:rsidRPr="00AD55C1">
        <w:rPr>
          <w:rStyle w:val="Nadrukcursief"/>
          <w:rFonts w:ascii="Verdana" w:hAnsi="Verdana"/>
          <w:i w:val="0"/>
          <w:iCs w:val="0"/>
          <w:sz w:val="18"/>
          <w:szCs w:val="18"/>
        </w:rPr>
        <w:t xml:space="preserve">luidt zou een dergelijke groep niet een verzekeringsrichtlijngroep zijn indien van die groep ook verzekeraars met een beperkte risico-omvang zouden deel uitmaken. Dat is niet de bedoeling en daarom wordt voorgesteld onderdeel b </w:t>
      </w:r>
      <w:r w:rsidR="00B17E03">
        <w:rPr>
          <w:rStyle w:val="Nadrukcursief"/>
          <w:rFonts w:ascii="Verdana" w:hAnsi="Verdana"/>
          <w:i w:val="0"/>
          <w:iCs w:val="0"/>
          <w:sz w:val="18"/>
          <w:szCs w:val="18"/>
        </w:rPr>
        <w:t xml:space="preserve">van de definitie </w:t>
      </w:r>
      <w:r w:rsidRPr="00AD55C1">
        <w:rPr>
          <w:rStyle w:val="Nadrukcursief"/>
          <w:rFonts w:ascii="Verdana" w:hAnsi="Verdana"/>
          <w:i w:val="0"/>
          <w:iCs w:val="0"/>
          <w:sz w:val="18"/>
          <w:szCs w:val="18"/>
        </w:rPr>
        <w:t xml:space="preserve">te laten vervallen. De definitie </w:t>
      </w:r>
      <w:r w:rsidR="00A769A2">
        <w:rPr>
          <w:rStyle w:val="Nadrukcursief"/>
          <w:rFonts w:ascii="Verdana" w:hAnsi="Verdana"/>
          <w:i w:val="0"/>
          <w:iCs w:val="0"/>
          <w:sz w:val="18"/>
          <w:szCs w:val="18"/>
        </w:rPr>
        <w:t xml:space="preserve">verwijst nu naar artikel 213, tweede lid, onderdelen a tot en met d, </w:t>
      </w:r>
      <w:r w:rsidR="00A769A2" w:rsidRPr="00AD55C1">
        <w:rPr>
          <w:rStyle w:val="Nadrukcursief"/>
          <w:rFonts w:ascii="Verdana" w:hAnsi="Verdana"/>
          <w:i w:val="0"/>
          <w:iCs w:val="0"/>
          <w:sz w:val="18"/>
          <w:szCs w:val="18"/>
        </w:rPr>
        <w:t>van de richtlijn solvabiliteit II</w:t>
      </w:r>
      <w:r w:rsidR="00A769A2">
        <w:rPr>
          <w:rStyle w:val="Nadrukcursief"/>
          <w:rFonts w:ascii="Verdana" w:hAnsi="Verdana"/>
          <w:i w:val="0"/>
          <w:iCs w:val="0"/>
          <w:sz w:val="18"/>
          <w:szCs w:val="18"/>
        </w:rPr>
        <w:t>.</w:t>
      </w:r>
      <w:r w:rsidR="00A769A2" w:rsidRPr="00AD55C1">
        <w:rPr>
          <w:rStyle w:val="Nadrukcursief"/>
          <w:rFonts w:ascii="Verdana" w:hAnsi="Verdana"/>
          <w:i w:val="0"/>
          <w:iCs w:val="0"/>
          <w:sz w:val="18"/>
          <w:szCs w:val="18"/>
        </w:rPr>
        <w:t xml:space="preserve"> </w:t>
      </w:r>
      <w:r w:rsidR="00A769A2">
        <w:rPr>
          <w:rStyle w:val="Nadrukcursief"/>
          <w:rFonts w:ascii="Verdana" w:hAnsi="Verdana"/>
          <w:i w:val="0"/>
          <w:iCs w:val="0"/>
          <w:sz w:val="18"/>
          <w:szCs w:val="18"/>
        </w:rPr>
        <w:t xml:space="preserve">Er is </w:t>
      </w:r>
      <w:r w:rsidRPr="00AD55C1">
        <w:rPr>
          <w:rStyle w:val="Nadrukcursief"/>
          <w:rFonts w:ascii="Verdana" w:hAnsi="Verdana"/>
          <w:i w:val="0"/>
          <w:iCs w:val="0"/>
          <w:sz w:val="18"/>
          <w:szCs w:val="18"/>
        </w:rPr>
        <w:t xml:space="preserve">sprake van een verzekeringsrichtlijngroep zodra er van die groep één verzekeraar deel uitmaakt die </w:t>
      </w:r>
      <w:r w:rsidR="009A1C27" w:rsidRPr="00AD55C1">
        <w:rPr>
          <w:rStyle w:val="Nadrukcursief"/>
          <w:rFonts w:ascii="Verdana" w:hAnsi="Verdana"/>
          <w:i w:val="0"/>
          <w:iCs w:val="0"/>
          <w:sz w:val="18"/>
          <w:szCs w:val="18"/>
        </w:rPr>
        <w:t xml:space="preserve">valt </w:t>
      </w:r>
      <w:r w:rsidRPr="00AD55C1">
        <w:rPr>
          <w:rStyle w:val="Nadrukcursief"/>
          <w:rFonts w:ascii="Verdana" w:hAnsi="Verdana"/>
          <w:i w:val="0"/>
          <w:iCs w:val="0"/>
          <w:sz w:val="18"/>
          <w:szCs w:val="18"/>
        </w:rPr>
        <w:t>onder artikel 1</w:t>
      </w:r>
      <w:r w:rsidR="009A1C27" w:rsidRPr="00AD55C1">
        <w:rPr>
          <w:rStyle w:val="Nadrukcursief"/>
          <w:rFonts w:ascii="Verdana" w:hAnsi="Verdana"/>
          <w:i w:val="0"/>
          <w:iCs w:val="0"/>
          <w:sz w:val="18"/>
          <w:szCs w:val="18"/>
        </w:rPr>
        <w:t>3, punt 1 dan wel 4,</w:t>
      </w:r>
      <w:r w:rsidRPr="00AD55C1">
        <w:rPr>
          <w:rStyle w:val="Nadrukcursief"/>
          <w:rFonts w:ascii="Verdana" w:hAnsi="Verdana"/>
          <w:i w:val="0"/>
          <w:iCs w:val="0"/>
          <w:sz w:val="18"/>
          <w:szCs w:val="18"/>
        </w:rPr>
        <w:t xml:space="preserve"> van de richtlijn </w:t>
      </w:r>
      <w:r w:rsidR="006D5466" w:rsidRPr="00AD55C1">
        <w:rPr>
          <w:rStyle w:val="Nadrukcursief"/>
          <w:rFonts w:ascii="Verdana" w:hAnsi="Verdana"/>
          <w:i w:val="0"/>
          <w:iCs w:val="0"/>
          <w:sz w:val="18"/>
          <w:szCs w:val="18"/>
        </w:rPr>
        <w:t>solvabiliteit II</w:t>
      </w:r>
      <w:r w:rsidRPr="00AD55C1">
        <w:rPr>
          <w:rStyle w:val="Nadrukcursief"/>
          <w:rFonts w:ascii="Verdana" w:hAnsi="Verdana"/>
          <w:i w:val="0"/>
          <w:iCs w:val="0"/>
          <w:sz w:val="18"/>
          <w:szCs w:val="18"/>
        </w:rPr>
        <w:t>.</w:t>
      </w:r>
    </w:p>
    <w:p w:rsidR="00CB3EC0" w:rsidRPr="00AD55C1" w:rsidRDefault="00CB3EC0" w:rsidP="00AD55C1">
      <w:pPr>
        <w:spacing w:line="260" w:lineRule="exact"/>
        <w:rPr>
          <w:rFonts w:ascii="Verdana" w:hAnsi="Verdana"/>
          <w:sz w:val="18"/>
          <w:szCs w:val="18"/>
        </w:rPr>
      </w:pPr>
    </w:p>
    <w:p w:rsidR="00CB3EC0" w:rsidRPr="00AD55C1" w:rsidRDefault="00CB3EC0"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2 (artikel I, onderdeel </w:t>
      </w:r>
      <w:r w:rsidR="00914828" w:rsidRPr="00AD55C1">
        <w:rPr>
          <w:rStyle w:val="Nadrukcursief"/>
          <w:rFonts w:ascii="Verdana" w:hAnsi="Verdana"/>
          <w:iCs w:val="0"/>
          <w:sz w:val="18"/>
          <w:szCs w:val="18"/>
        </w:rPr>
        <w:t>C</w:t>
      </w:r>
      <w:r w:rsidRPr="00AD55C1">
        <w:rPr>
          <w:rStyle w:val="Nadrukcursief"/>
          <w:rFonts w:ascii="Verdana" w:hAnsi="Verdana"/>
          <w:iCs w:val="0"/>
          <w:sz w:val="18"/>
          <w:szCs w:val="18"/>
        </w:rPr>
        <w:t>, van de Implementati</w:t>
      </w:r>
      <w:r w:rsidR="00914828" w:rsidRPr="00AD55C1">
        <w:rPr>
          <w:rStyle w:val="Nadrukcursief"/>
          <w:rFonts w:ascii="Verdana" w:hAnsi="Verdana"/>
          <w:iCs w:val="0"/>
          <w:sz w:val="18"/>
          <w:szCs w:val="18"/>
        </w:rPr>
        <w:t>ewet richtlijn solvabiliteit II</w:t>
      </w:r>
    </w:p>
    <w:p w:rsidR="00CB3EC0" w:rsidRPr="00AD55C1" w:rsidRDefault="00CB3EC0" w:rsidP="00AD55C1">
      <w:pPr>
        <w:spacing w:line="260" w:lineRule="exact"/>
        <w:rPr>
          <w:rFonts w:ascii="Verdana" w:hAnsi="Verdana"/>
          <w:sz w:val="18"/>
          <w:szCs w:val="18"/>
        </w:rPr>
      </w:pPr>
      <w:r w:rsidRPr="00AD55C1">
        <w:rPr>
          <w:rFonts w:ascii="Verdana" w:hAnsi="Verdana"/>
          <w:sz w:val="18"/>
          <w:szCs w:val="18"/>
        </w:rPr>
        <w:t xml:space="preserve">De beoogde vrijstellingsregeling blijkt artikel 1:10 Wft niet geheel te kunnen vervangen omdat </w:t>
      </w:r>
      <w:r w:rsidR="003167F3" w:rsidRPr="00AD55C1">
        <w:rPr>
          <w:rFonts w:ascii="Verdana" w:hAnsi="Verdana"/>
          <w:sz w:val="18"/>
          <w:szCs w:val="18"/>
        </w:rPr>
        <w:t xml:space="preserve">de </w:t>
      </w:r>
      <w:r w:rsidRPr="00AD55C1">
        <w:rPr>
          <w:rFonts w:ascii="Verdana" w:hAnsi="Verdana"/>
          <w:sz w:val="18"/>
          <w:szCs w:val="18"/>
        </w:rPr>
        <w:t>reikwijdte van artikel 1:10 niet overeenkomt met die van de vrijstellingsregeling. Daarom wordt voorgesteld om artikel 1:10, met uitzondering van het huidige onderdeel a, te handhaven.</w:t>
      </w:r>
    </w:p>
    <w:p w:rsidR="00241B8D" w:rsidRPr="00AD55C1" w:rsidRDefault="00241B8D" w:rsidP="00AD55C1">
      <w:pPr>
        <w:spacing w:line="260" w:lineRule="exact"/>
        <w:rPr>
          <w:rFonts w:ascii="Verdana" w:hAnsi="Verdana"/>
          <w:sz w:val="18"/>
          <w:szCs w:val="18"/>
        </w:rPr>
      </w:pPr>
    </w:p>
    <w:p w:rsidR="00473024" w:rsidRPr="00AD55C1" w:rsidRDefault="00473024"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w:t>
      </w:r>
      <w:r w:rsidR="00914828" w:rsidRPr="00AD55C1">
        <w:rPr>
          <w:rStyle w:val="Nadrukcursief"/>
          <w:rFonts w:ascii="Verdana" w:hAnsi="Verdana"/>
          <w:iCs w:val="0"/>
          <w:sz w:val="18"/>
          <w:szCs w:val="18"/>
        </w:rPr>
        <w:t>3</w:t>
      </w:r>
      <w:r w:rsidRPr="00AD55C1">
        <w:rPr>
          <w:rStyle w:val="Nadrukcursief"/>
          <w:rFonts w:ascii="Verdana" w:hAnsi="Verdana"/>
          <w:iCs w:val="0"/>
          <w:sz w:val="18"/>
          <w:szCs w:val="18"/>
        </w:rPr>
        <w:t xml:space="preserve"> (artikel I, onderdeel </w:t>
      </w:r>
      <w:r w:rsidR="00777F91" w:rsidRPr="00AD55C1">
        <w:rPr>
          <w:rStyle w:val="Nadrukcursief"/>
          <w:rFonts w:ascii="Verdana" w:hAnsi="Verdana"/>
          <w:iCs w:val="0"/>
          <w:sz w:val="18"/>
          <w:szCs w:val="18"/>
        </w:rPr>
        <w:t>H</w:t>
      </w:r>
      <w:r w:rsidR="00BE61DD" w:rsidRPr="00AD55C1">
        <w:rPr>
          <w:rStyle w:val="Nadrukcursief"/>
          <w:rFonts w:ascii="Verdana" w:hAnsi="Verdana"/>
          <w:iCs w:val="0"/>
          <w:sz w:val="18"/>
          <w:szCs w:val="18"/>
        </w:rPr>
        <w:t>,</w:t>
      </w:r>
      <w:r w:rsidRPr="00AD55C1">
        <w:rPr>
          <w:rStyle w:val="Nadrukcursief"/>
          <w:rFonts w:ascii="Verdana" w:hAnsi="Verdana"/>
          <w:iCs w:val="0"/>
          <w:sz w:val="18"/>
          <w:szCs w:val="18"/>
        </w:rPr>
        <w:t xml:space="preserve"> van de Implementatiewet richtlijn solvabiliteit II)</w:t>
      </w:r>
    </w:p>
    <w:p w:rsidR="00473024" w:rsidRPr="00AD55C1" w:rsidRDefault="00473024"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Als gevolg van de Implementatiewet richtlijn financiële conglomeraten I is artikel 1:54 inmiddels </w:t>
      </w:r>
      <w:r w:rsidR="00476B1A" w:rsidRPr="00AD55C1">
        <w:rPr>
          <w:rStyle w:val="Nadrukcursief"/>
          <w:rFonts w:ascii="Verdana" w:hAnsi="Verdana"/>
          <w:i w:val="0"/>
          <w:iCs w:val="0"/>
          <w:sz w:val="18"/>
          <w:szCs w:val="18"/>
        </w:rPr>
        <w:t xml:space="preserve">met ingang van 1 januari 2014 </w:t>
      </w:r>
      <w:r w:rsidRPr="00AD55C1">
        <w:rPr>
          <w:rStyle w:val="Nadrukcursief"/>
          <w:rFonts w:ascii="Verdana" w:hAnsi="Verdana"/>
          <w:i w:val="0"/>
          <w:iCs w:val="0"/>
          <w:sz w:val="18"/>
          <w:szCs w:val="18"/>
        </w:rPr>
        <w:t>vervallen</w:t>
      </w:r>
      <w:r w:rsidR="000D3271" w:rsidRPr="00AD55C1">
        <w:rPr>
          <w:rStyle w:val="Nadrukcursief"/>
          <w:rFonts w:ascii="Verdana" w:hAnsi="Verdana"/>
          <w:i w:val="0"/>
          <w:iCs w:val="0"/>
          <w:sz w:val="18"/>
          <w:szCs w:val="18"/>
        </w:rPr>
        <w:t xml:space="preserve"> </w:t>
      </w:r>
      <w:r w:rsidR="003167F3" w:rsidRPr="00AD55C1">
        <w:rPr>
          <w:rStyle w:val="Nadrukcursief"/>
          <w:rFonts w:ascii="Verdana" w:hAnsi="Verdana"/>
          <w:i w:val="0"/>
          <w:iCs w:val="0"/>
          <w:sz w:val="18"/>
          <w:szCs w:val="18"/>
        </w:rPr>
        <w:t xml:space="preserve">waardoor </w:t>
      </w:r>
      <w:r w:rsidR="000D3271" w:rsidRPr="00AD55C1">
        <w:rPr>
          <w:rStyle w:val="Nadrukcursief"/>
          <w:rFonts w:ascii="Verdana" w:hAnsi="Verdana"/>
          <w:i w:val="0"/>
          <w:iCs w:val="0"/>
          <w:sz w:val="18"/>
          <w:szCs w:val="18"/>
        </w:rPr>
        <w:t>artikel I, onderdeel H, van de Implementatiewet richtlijn solvabiliteit II inzake artikel 1:54 Wft overbodig is geworden</w:t>
      </w:r>
      <w:r w:rsidRPr="00AD55C1">
        <w:rPr>
          <w:rStyle w:val="Nadrukcursief"/>
          <w:rFonts w:ascii="Verdana" w:hAnsi="Verdana"/>
          <w:i w:val="0"/>
          <w:iCs w:val="0"/>
          <w:sz w:val="18"/>
          <w:szCs w:val="18"/>
        </w:rPr>
        <w:t>.</w:t>
      </w:r>
    </w:p>
    <w:p w:rsidR="00473024" w:rsidRPr="00AD55C1" w:rsidRDefault="00473024" w:rsidP="00AD55C1">
      <w:pPr>
        <w:spacing w:line="260" w:lineRule="exact"/>
        <w:rPr>
          <w:rFonts w:ascii="Verdana" w:hAnsi="Verdana"/>
          <w:sz w:val="18"/>
          <w:szCs w:val="18"/>
        </w:rPr>
      </w:pPr>
    </w:p>
    <w:p w:rsidR="00402DB5" w:rsidRPr="00AD55C1" w:rsidRDefault="00402DB5"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914828" w:rsidRPr="00AD55C1">
        <w:rPr>
          <w:rStyle w:val="Nadrukcursief"/>
          <w:rFonts w:ascii="Verdana" w:hAnsi="Verdana"/>
          <w:iCs w:val="0"/>
          <w:sz w:val="18"/>
          <w:szCs w:val="18"/>
        </w:rPr>
        <w:t>4</w:t>
      </w:r>
      <w:r w:rsidRPr="00AD55C1">
        <w:rPr>
          <w:rStyle w:val="Nadrukcursief"/>
          <w:rFonts w:ascii="Verdana" w:hAnsi="Verdana"/>
          <w:iCs w:val="0"/>
          <w:sz w:val="18"/>
          <w:szCs w:val="18"/>
        </w:rPr>
        <w:t xml:space="preserve"> (artikel I, onderdeel J, van de Implementatiewet richtlijn solvabiliteit II)</w:t>
      </w:r>
    </w:p>
    <w:p w:rsidR="000D3271" w:rsidRPr="00AD55C1" w:rsidRDefault="000D3271" w:rsidP="00AD55C1">
      <w:pPr>
        <w:spacing w:line="260" w:lineRule="exact"/>
        <w:rPr>
          <w:rFonts w:ascii="Verdana" w:hAnsi="Verdana"/>
          <w:i/>
          <w:sz w:val="18"/>
          <w:szCs w:val="18"/>
        </w:rPr>
      </w:pPr>
      <w:r w:rsidRPr="00AD55C1">
        <w:rPr>
          <w:rStyle w:val="Nadrukcursief"/>
          <w:rFonts w:ascii="Verdana" w:hAnsi="Verdana"/>
          <w:i w:val="0"/>
          <w:iCs w:val="0"/>
          <w:sz w:val="18"/>
          <w:szCs w:val="18"/>
        </w:rPr>
        <w:t>Artikel I, onderdeel J, van de Implementatiewet richtlijn solvabiliteit II betreft artikel 1:56 Wft.</w:t>
      </w:r>
      <w:r w:rsidRPr="00AD55C1">
        <w:rPr>
          <w:rFonts w:ascii="Verdana" w:hAnsi="Verdana"/>
          <w:i/>
          <w:sz w:val="18"/>
          <w:szCs w:val="18"/>
        </w:rPr>
        <w:t xml:space="preserve"> </w:t>
      </w:r>
    </w:p>
    <w:p w:rsidR="00345941" w:rsidRPr="00AD55C1" w:rsidRDefault="00345941" w:rsidP="00AD55C1">
      <w:pPr>
        <w:spacing w:line="260" w:lineRule="exact"/>
        <w:rPr>
          <w:rFonts w:ascii="Verdana" w:hAnsi="Verdana"/>
          <w:sz w:val="18"/>
          <w:szCs w:val="18"/>
        </w:rPr>
      </w:pPr>
      <w:r w:rsidRPr="00AD55C1">
        <w:rPr>
          <w:rFonts w:ascii="Verdana" w:hAnsi="Verdana"/>
          <w:sz w:val="18"/>
          <w:szCs w:val="18"/>
        </w:rPr>
        <w:t>Dit onderdeel wijzigt artikel 1:56</w:t>
      </w:r>
      <w:r w:rsidR="0070256F" w:rsidRPr="00AD55C1">
        <w:rPr>
          <w:rFonts w:ascii="Verdana" w:hAnsi="Verdana"/>
          <w:sz w:val="18"/>
          <w:szCs w:val="18"/>
        </w:rPr>
        <w:t>, eerste lid</w:t>
      </w:r>
      <w:r w:rsidR="00B17E03">
        <w:rPr>
          <w:rFonts w:ascii="Verdana" w:hAnsi="Verdana"/>
          <w:sz w:val="18"/>
          <w:szCs w:val="18"/>
        </w:rPr>
        <w:t>,</w:t>
      </w:r>
      <w:r w:rsidR="0070256F" w:rsidRPr="00AD55C1">
        <w:rPr>
          <w:rFonts w:ascii="Verdana" w:hAnsi="Verdana"/>
          <w:sz w:val="18"/>
          <w:szCs w:val="18"/>
        </w:rPr>
        <w:t xml:space="preserve"> </w:t>
      </w:r>
      <w:r w:rsidR="00100581">
        <w:rPr>
          <w:rFonts w:ascii="Verdana" w:hAnsi="Verdana"/>
          <w:sz w:val="18"/>
          <w:szCs w:val="18"/>
        </w:rPr>
        <w:t xml:space="preserve">van de Wft </w:t>
      </w:r>
      <w:r w:rsidR="0070256F" w:rsidRPr="00AD55C1">
        <w:rPr>
          <w:rFonts w:ascii="Verdana" w:hAnsi="Verdana"/>
          <w:sz w:val="18"/>
          <w:szCs w:val="18"/>
        </w:rPr>
        <w:t xml:space="preserve">en voegt </w:t>
      </w:r>
      <w:r w:rsidR="005E30AA" w:rsidRPr="00AD55C1">
        <w:rPr>
          <w:rFonts w:ascii="Verdana" w:hAnsi="Verdana"/>
          <w:sz w:val="18"/>
          <w:szCs w:val="18"/>
        </w:rPr>
        <w:t>drie leden</w:t>
      </w:r>
      <w:r w:rsidR="0070256F" w:rsidRPr="00AD55C1">
        <w:rPr>
          <w:rFonts w:ascii="Verdana" w:hAnsi="Verdana"/>
          <w:sz w:val="18"/>
          <w:szCs w:val="18"/>
        </w:rPr>
        <w:t xml:space="preserve"> toe</w:t>
      </w:r>
      <w:r w:rsidRPr="00AD55C1">
        <w:rPr>
          <w:rFonts w:ascii="Verdana" w:hAnsi="Verdana"/>
          <w:sz w:val="18"/>
          <w:szCs w:val="18"/>
        </w:rPr>
        <w:t xml:space="preserve">. In </w:t>
      </w:r>
      <w:r w:rsidR="00CC1CFD" w:rsidRPr="00AD55C1">
        <w:rPr>
          <w:rFonts w:ascii="Verdana" w:hAnsi="Verdana"/>
          <w:sz w:val="18"/>
          <w:szCs w:val="18"/>
        </w:rPr>
        <w:t xml:space="preserve">artikel 1:56, </w:t>
      </w:r>
      <w:r w:rsidRPr="00AD55C1">
        <w:rPr>
          <w:rFonts w:ascii="Verdana" w:hAnsi="Verdana"/>
          <w:sz w:val="18"/>
          <w:szCs w:val="18"/>
        </w:rPr>
        <w:t>eerste lid</w:t>
      </w:r>
      <w:r w:rsidR="00CC1CFD" w:rsidRPr="00AD55C1">
        <w:rPr>
          <w:rFonts w:ascii="Verdana" w:hAnsi="Verdana"/>
          <w:sz w:val="18"/>
          <w:szCs w:val="18"/>
        </w:rPr>
        <w:t>,</w:t>
      </w:r>
      <w:r w:rsidRPr="00AD55C1">
        <w:rPr>
          <w:rFonts w:ascii="Verdana" w:hAnsi="Verdana"/>
          <w:sz w:val="18"/>
          <w:szCs w:val="18"/>
        </w:rPr>
        <w:t xml:space="preserve"> is opgenomen dat een toezichthouder uit een andere lidstaat in Nederland een onderzoek mag verrichten.</w:t>
      </w:r>
    </w:p>
    <w:p w:rsidR="002959FB" w:rsidRPr="00AD55C1" w:rsidRDefault="002959FB" w:rsidP="002959FB">
      <w:pPr>
        <w:pStyle w:val="Default"/>
        <w:widowControl w:val="0"/>
        <w:spacing w:line="260" w:lineRule="exact"/>
        <w:rPr>
          <w:rStyle w:val="Nadrukcursief"/>
          <w:rFonts w:ascii="Verdana" w:hAnsi="Verdana"/>
          <w:i w:val="0"/>
          <w:iCs w:val="0"/>
          <w:sz w:val="18"/>
          <w:szCs w:val="18"/>
        </w:rPr>
      </w:pPr>
      <w:r w:rsidRPr="00AD55C1">
        <w:rPr>
          <w:rFonts w:ascii="Verdana" w:hAnsi="Verdana" w:cs="Verdana"/>
          <w:bCs/>
          <w:sz w:val="18"/>
          <w:szCs w:val="18"/>
        </w:rPr>
        <w:t xml:space="preserve">In artikel 1:56, achtste lid, is een </w:t>
      </w:r>
      <w:r w:rsidRPr="00AD55C1">
        <w:rPr>
          <w:rStyle w:val="Nadrukcursief"/>
          <w:rFonts w:ascii="Verdana" w:hAnsi="Verdana"/>
          <w:i w:val="0"/>
          <w:iCs w:val="0"/>
          <w:sz w:val="18"/>
          <w:szCs w:val="18"/>
        </w:rPr>
        <w:t>verwijzing verbeterd.</w:t>
      </w:r>
    </w:p>
    <w:p w:rsidR="00345941" w:rsidRPr="00AD55C1" w:rsidRDefault="00345941" w:rsidP="00AD55C1">
      <w:pPr>
        <w:spacing w:line="260" w:lineRule="exact"/>
        <w:rPr>
          <w:rFonts w:ascii="Verdana" w:hAnsi="Verdana"/>
          <w:sz w:val="18"/>
          <w:szCs w:val="18"/>
        </w:rPr>
      </w:pPr>
      <w:r w:rsidRPr="00AD55C1">
        <w:rPr>
          <w:rFonts w:ascii="Verdana" w:hAnsi="Verdana"/>
          <w:sz w:val="18"/>
          <w:szCs w:val="18"/>
        </w:rPr>
        <w:t xml:space="preserve">Op grond van artikel 33 en artikel </w:t>
      </w:r>
      <w:r w:rsidR="005C4C09" w:rsidRPr="00AD55C1">
        <w:rPr>
          <w:rFonts w:ascii="Verdana" w:hAnsi="Verdana"/>
          <w:sz w:val="18"/>
          <w:szCs w:val="18"/>
        </w:rPr>
        <w:t>3</w:t>
      </w:r>
      <w:r w:rsidR="00BC0016" w:rsidRPr="00AD55C1">
        <w:rPr>
          <w:rFonts w:ascii="Verdana" w:hAnsi="Verdana"/>
          <w:sz w:val="18"/>
          <w:szCs w:val="18"/>
        </w:rPr>
        <w:t>8</w:t>
      </w:r>
      <w:r w:rsidR="005C4C09" w:rsidRPr="00AD55C1">
        <w:rPr>
          <w:rFonts w:ascii="Verdana" w:hAnsi="Verdana"/>
          <w:sz w:val="18"/>
          <w:szCs w:val="18"/>
        </w:rPr>
        <w:t xml:space="preserve"> </w:t>
      </w:r>
      <w:r w:rsidRPr="00AD55C1">
        <w:rPr>
          <w:rFonts w:ascii="Verdana" w:hAnsi="Verdana"/>
          <w:sz w:val="18"/>
          <w:szCs w:val="18"/>
        </w:rPr>
        <w:t xml:space="preserve">van de richtlijn solvabiliteit II zoals deze artikelen luiden na wijziging door </w:t>
      </w:r>
      <w:r w:rsidR="00DC041A" w:rsidRPr="00AD55C1">
        <w:rPr>
          <w:rFonts w:ascii="Verdana" w:hAnsi="Verdana"/>
          <w:sz w:val="18"/>
          <w:szCs w:val="18"/>
        </w:rPr>
        <w:t xml:space="preserve">artikel 2, </w:t>
      </w:r>
      <w:r w:rsidR="003018D1" w:rsidRPr="00AD55C1">
        <w:rPr>
          <w:rFonts w:ascii="Verdana" w:hAnsi="Verdana"/>
          <w:sz w:val="18"/>
          <w:szCs w:val="18"/>
        </w:rPr>
        <w:t>onderdelen</w:t>
      </w:r>
      <w:r w:rsidR="00DC041A" w:rsidRPr="00AD55C1">
        <w:rPr>
          <w:rFonts w:ascii="Verdana" w:hAnsi="Verdana"/>
          <w:sz w:val="18"/>
          <w:szCs w:val="18"/>
        </w:rPr>
        <w:t xml:space="preserve"> </w:t>
      </w:r>
      <w:r w:rsidRPr="00AD55C1">
        <w:rPr>
          <w:rFonts w:ascii="Verdana" w:hAnsi="Verdana"/>
          <w:sz w:val="18"/>
          <w:szCs w:val="18"/>
        </w:rPr>
        <w:t xml:space="preserve">6 en </w:t>
      </w:r>
      <w:r w:rsidR="00BC0016" w:rsidRPr="00AD55C1">
        <w:rPr>
          <w:rFonts w:ascii="Verdana" w:hAnsi="Verdana"/>
          <w:sz w:val="18"/>
          <w:szCs w:val="18"/>
        </w:rPr>
        <w:t>9</w:t>
      </w:r>
      <w:r w:rsidR="00CC1CFD" w:rsidRPr="00AD55C1">
        <w:rPr>
          <w:rFonts w:ascii="Verdana" w:hAnsi="Verdana"/>
          <w:sz w:val="18"/>
          <w:szCs w:val="18"/>
        </w:rPr>
        <w:t>,</w:t>
      </w:r>
      <w:r w:rsidRPr="00AD55C1">
        <w:rPr>
          <w:rFonts w:ascii="Verdana" w:hAnsi="Verdana"/>
          <w:sz w:val="18"/>
          <w:szCs w:val="18"/>
        </w:rPr>
        <w:t xml:space="preserve"> van de </w:t>
      </w:r>
      <w:r w:rsidR="00755A67" w:rsidRPr="00AD55C1">
        <w:rPr>
          <w:rFonts w:ascii="Verdana" w:hAnsi="Verdana"/>
          <w:sz w:val="18"/>
          <w:szCs w:val="18"/>
        </w:rPr>
        <w:t>O</w:t>
      </w:r>
      <w:r w:rsidRPr="00AD55C1">
        <w:rPr>
          <w:rFonts w:ascii="Verdana" w:hAnsi="Verdana"/>
          <w:sz w:val="18"/>
          <w:szCs w:val="18"/>
        </w:rPr>
        <w:t xml:space="preserve">mnibus II-richtlijn, is het aan EIOPA toegestaan om deel te nemen aan een verificatie van inlichtingen of gegevens of een onderzoek ter plaatse indien deze verificatie of dit onderzoek door twee of meer toezichthouders gezamenlijk wordt uitgevoerd. </w:t>
      </w:r>
      <w:r w:rsidR="00CC1CFD" w:rsidRPr="00AD55C1">
        <w:rPr>
          <w:rFonts w:ascii="Verdana" w:hAnsi="Verdana"/>
          <w:sz w:val="18"/>
          <w:szCs w:val="18"/>
        </w:rPr>
        <w:t xml:space="preserve">Dit </w:t>
      </w:r>
      <w:r w:rsidR="002959FB">
        <w:rPr>
          <w:rFonts w:ascii="Verdana" w:hAnsi="Verdana"/>
          <w:sz w:val="18"/>
          <w:szCs w:val="18"/>
        </w:rPr>
        <w:t xml:space="preserve">wordt </w:t>
      </w:r>
      <w:r w:rsidR="00CC1CFD" w:rsidRPr="00AD55C1">
        <w:rPr>
          <w:rFonts w:ascii="Verdana" w:hAnsi="Verdana"/>
          <w:sz w:val="18"/>
          <w:szCs w:val="18"/>
        </w:rPr>
        <w:t xml:space="preserve">geïmplementeerd in artikel 1:56, </w:t>
      </w:r>
      <w:r w:rsidR="002959FB">
        <w:rPr>
          <w:rFonts w:ascii="Verdana" w:hAnsi="Verdana"/>
          <w:sz w:val="18"/>
          <w:szCs w:val="18"/>
        </w:rPr>
        <w:t xml:space="preserve">tiende </w:t>
      </w:r>
      <w:r w:rsidR="00CC1CFD" w:rsidRPr="00AD55C1">
        <w:rPr>
          <w:rFonts w:ascii="Verdana" w:hAnsi="Verdana"/>
          <w:sz w:val="18"/>
          <w:szCs w:val="18"/>
        </w:rPr>
        <w:t>lid</w:t>
      </w:r>
      <w:r w:rsidR="000D3271" w:rsidRPr="00AD55C1">
        <w:rPr>
          <w:rFonts w:ascii="Verdana" w:hAnsi="Verdana"/>
          <w:sz w:val="18"/>
          <w:szCs w:val="18"/>
        </w:rPr>
        <w:t>.</w:t>
      </w:r>
      <w:r w:rsidR="00CC1CFD" w:rsidRPr="00AD55C1">
        <w:rPr>
          <w:rFonts w:ascii="Verdana" w:hAnsi="Verdana"/>
          <w:sz w:val="18"/>
          <w:szCs w:val="18"/>
        </w:rPr>
        <w:t xml:space="preserve"> </w:t>
      </w:r>
    </w:p>
    <w:p w:rsidR="00FB28DC" w:rsidRPr="00AD55C1" w:rsidRDefault="00FB28DC" w:rsidP="00AD55C1">
      <w:pPr>
        <w:pStyle w:val="Default"/>
        <w:widowControl w:val="0"/>
        <w:spacing w:line="260" w:lineRule="exact"/>
        <w:rPr>
          <w:rStyle w:val="Nadrukcursief"/>
          <w:rFonts w:ascii="Verdana" w:hAnsi="Verdana"/>
          <w:i w:val="0"/>
          <w:iCs w:val="0"/>
          <w:sz w:val="18"/>
          <w:szCs w:val="18"/>
        </w:rPr>
      </w:pPr>
    </w:p>
    <w:p w:rsidR="0039668D" w:rsidRPr="00AD55C1" w:rsidRDefault="0039668D"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lastRenderedPageBreak/>
        <w:t xml:space="preserve">A, </w:t>
      </w:r>
      <w:r w:rsidR="000F3689" w:rsidRPr="00AD55C1">
        <w:rPr>
          <w:rStyle w:val="Nadrukcursief"/>
          <w:rFonts w:ascii="Verdana" w:hAnsi="Verdana"/>
          <w:iCs w:val="0"/>
          <w:sz w:val="18"/>
          <w:szCs w:val="18"/>
        </w:rPr>
        <w:t xml:space="preserve">onder </w:t>
      </w:r>
      <w:r w:rsidR="00914828" w:rsidRPr="00AD55C1">
        <w:rPr>
          <w:rStyle w:val="Nadrukcursief"/>
          <w:rFonts w:ascii="Verdana" w:hAnsi="Verdana"/>
          <w:iCs w:val="0"/>
          <w:sz w:val="18"/>
          <w:szCs w:val="18"/>
        </w:rPr>
        <w:t>5</w:t>
      </w:r>
      <w:r w:rsidRPr="00AD55C1">
        <w:rPr>
          <w:rStyle w:val="Nadrukcursief"/>
          <w:rFonts w:ascii="Verdana" w:hAnsi="Verdana"/>
          <w:iCs w:val="0"/>
          <w:sz w:val="18"/>
          <w:szCs w:val="18"/>
        </w:rPr>
        <w:t xml:space="preserve"> (artikel I, onderdeel K, van de Implementatiewet richtlijn so</w:t>
      </w:r>
      <w:r w:rsidR="00777F91" w:rsidRPr="00AD55C1">
        <w:rPr>
          <w:rStyle w:val="Nadrukcursief"/>
          <w:rFonts w:ascii="Verdana" w:hAnsi="Verdana"/>
          <w:iCs w:val="0"/>
          <w:sz w:val="18"/>
          <w:szCs w:val="18"/>
        </w:rPr>
        <w:t>l</w:t>
      </w:r>
      <w:r w:rsidRPr="00AD55C1">
        <w:rPr>
          <w:rStyle w:val="Nadrukcursief"/>
          <w:rFonts w:ascii="Verdana" w:hAnsi="Verdana"/>
          <w:iCs w:val="0"/>
          <w:sz w:val="18"/>
          <w:szCs w:val="18"/>
        </w:rPr>
        <w:t>vabiliteit II)</w:t>
      </w:r>
    </w:p>
    <w:p w:rsidR="0039668D" w:rsidRPr="00AD55C1" w:rsidRDefault="000D3271"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Artikel I, onderdeel K, van de Implementatiewet richtlijn solvabiliteit II betreft artikel 1:57 Wft. </w:t>
      </w:r>
      <w:r w:rsidR="0039668D" w:rsidRPr="00AD55C1">
        <w:rPr>
          <w:rStyle w:val="Nadrukcursief"/>
          <w:rFonts w:ascii="Verdana" w:hAnsi="Verdana"/>
          <w:i w:val="0"/>
          <w:iCs w:val="0"/>
          <w:sz w:val="18"/>
          <w:szCs w:val="18"/>
        </w:rPr>
        <w:t xml:space="preserve">De Implementatiewet richtlijn financiële conglomeraten I heeft de in onderdeel K aangebrachte wijziging reeds doorgevoerd. </w:t>
      </w:r>
    </w:p>
    <w:p w:rsidR="003E7EEA" w:rsidRPr="00AD55C1" w:rsidRDefault="003E7EEA" w:rsidP="00AD55C1">
      <w:pPr>
        <w:spacing w:line="260" w:lineRule="exact"/>
        <w:rPr>
          <w:rFonts w:ascii="Verdana" w:hAnsi="Verdana" w:cs="Verdana"/>
          <w:bCs/>
          <w:i/>
          <w:sz w:val="18"/>
          <w:szCs w:val="18"/>
        </w:rPr>
      </w:pPr>
    </w:p>
    <w:p w:rsidR="003E7EEA" w:rsidRPr="00AD55C1" w:rsidRDefault="003E7EEA" w:rsidP="00AD55C1">
      <w:pPr>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2D70FD" w:rsidRPr="00AD55C1">
        <w:rPr>
          <w:rFonts w:ascii="Verdana" w:hAnsi="Verdana" w:cs="Verdana"/>
          <w:bCs/>
          <w:i/>
          <w:sz w:val="18"/>
          <w:szCs w:val="18"/>
        </w:rPr>
        <w:t>6</w:t>
      </w:r>
      <w:r w:rsidRPr="00AD55C1">
        <w:rPr>
          <w:rFonts w:ascii="Verdana" w:hAnsi="Verdana" w:cs="Verdana"/>
          <w:bCs/>
          <w:i/>
          <w:sz w:val="18"/>
          <w:szCs w:val="18"/>
        </w:rPr>
        <w:t xml:space="preserve"> (artikel I, onderd</w:t>
      </w:r>
      <w:r w:rsidR="002D70FD" w:rsidRPr="00AD55C1">
        <w:rPr>
          <w:rFonts w:ascii="Verdana" w:hAnsi="Verdana" w:cs="Verdana"/>
          <w:bCs/>
          <w:i/>
          <w:sz w:val="18"/>
          <w:szCs w:val="18"/>
        </w:rPr>
        <w:t>e</w:t>
      </w:r>
      <w:r w:rsidRPr="00AD55C1">
        <w:rPr>
          <w:rFonts w:ascii="Verdana" w:hAnsi="Verdana" w:cs="Verdana"/>
          <w:bCs/>
          <w:i/>
          <w:sz w:val="18"/>
          <w:szCs w:val="18"/>
        </w:rPr>
        <w:t>el</w:t>
      </w:r>
      <w:r w:rsidR="002D70FD" w:rsidRPr="00AD55C1">
        <w:rPr>
          <w:rFonts w:ascii="Verdana" w:hAnsi="Verdana" w:cs="Verdana"/>
          <w:bCs/>
          <w:i/>
          <w:sz w:val="18"/>
          <w:szCs w:val="18"/>
        </w:rPr>
        <w:t xml:space="preserve"> N, </w:t>
      </w:r>
      <w:r w:rsidRPr="00AD55C1">
        <w:rPr>
          <w:rFonts w:ascii="Verdana" w:hAnsi="Verdana" w:cs="Verdana"/>
          <w:bCs/>
          <w:i/>
          <w:sz w:val="18"/>
          <w:szCs w:val="18"/>
        </w:rPr>
        <w:t xml:space="preserve">van de Implementatiewet </w:t>
      </w:r>
      <w:r w:rsidRPr="00AD55C1">
        <w:rPr>
          <w:rStyle w:val="Nadrukcursief"/>
          <w:rFonts w:ascii="Verdana" w:hAnsi="Verdana"/>
          <w:iCs w:val="0"/>
          <w:sz w:val="18"/>
          <w:szCs w:val="18"/>
        </w:rPr>
        <w:t>richtlijn solvabiliteit II</w:t>
      </w:r>
      <w:r w:rsidRPr="00AD55C1">
        <w:rPr>
          <w:rFonts w:ascii="Verdana" w:hAnsi="Verdana" w:cs="Verdana"/>
          <w:bCs/>
          <w:i/>
          <w:sz w:val="18"/>
          <w:szCs w:val="18"/>
        </w:rPr>
        <w:t>)</w:t>
      </w:r>
    </w:p>
    <w:p w:rsidR="00E911E8" w:rsidRPr="00AD55C1" w:rsidRDefault="002D70FD" w:rsidP="00AD55C1">
      <w:pPr>
        <w:spacing w:line="260" w:lineRule="exact"/>
        <w:rPr>
          <w:rFonts w:ascii="Verdana" w:hAnsi="Verdana" w:cs="Verdana"/>
          <w:bCs/>
          <w:sz w:val="18"/>
          <w:szCs w:val="18"/>
        </w:rPr>
      </w:pPr>
      <w:r w:rsidRPr="00AD55C1">
        <w:rPr>
          <w:rFonts w:ascii="Verdana" w:hAnsi="Verdana" w:cs="Verdana"/>
          <w:bCs/>
          <w:sz w:val="18"/>
          <w:szCs w:val="18"/>
        </w:rPr>
        <w:t xml:space="preserve">Deze aanpassing vloeit voort uit </w:t>
      </w:r>
      <w:r w:rsidR="002959FB">
        <w:rPr>
          <w:rFonts w:ascii="Verdana" w:hAnsi="Verdana" w:cs="Verdana"/>
          <w:bCs/>
          <w:sz w:val="18"/>
          <w:szCs w:val="18"/>
        </w:rPr>
        <w:t xml:space="preserve">het ongedaan maken van </w:t>
      </w:r>
      <w:r w:rsidR="00100581">
        <w:rPr>
          <w:rFonts w:ascii="Verdana" w:hAnsi="Verdana" w:cs="Verdana"/>
          <w:bCs/>
          <w:sz w:val="18"/>
          <w:szCs w:val="18"/>
        </w:rPr>
        <w:t xml:space="preserve">de </w:t>
      </w:r>
      <w:r w:rsidRPr="00AD55C1">
        <w:rPr>
          <w:rFonts w:ascii="Verdana" w:hAnsi="Verdana" w:cs="Verdana"/>
          <w:bCs/>
          <w:sz w:val="18"/>
          <w:szCs w:val="18"/>
        </w:rPr>
        <w:t>wijziging van artikel 2:27, eerste lid</w:t>
      </w:r>
      <w:r w:rsidR="00100581">
        <w:rPr>
          <w:rFonts w:ascii="Verdana" w:hAnsi="Verdana" w:cs="Verdana"/>
          <w:bCs/>
          <w:sz w:val="18"/>
          <w:szCs w:val="18"/>
        </w:rPr>
        <w:t>, van de Wft</w:t>
      </w:r>
      <w:r w:rsidRPr="00AD55C1">
        <w:rPr>
          <w:rFonts w:ascii="Verdana" w:hAnsi="Verdana" w:cs="Verdana"/>
          <w:bCs/>
          <w:sz w:val="18"/>
          <w:szCs w:val="18"/>
        </w:rPr>
        <w:t>.</w:t>
      </w:r>
    </w:p>
    <w:p w:rsidR="003E7EEA" w:rsidRPr="00AD55C1" w:rsidRDefault="003E7EEA" w:rsidP="00AD55C1">
      <w:pPr>
        <w:spacing w:line="260" w:lineRule="exact"/>
        <w:rPr>
          <w:rFonts w:ascii="Verdana" w:hAnsi="Verdana" w:cs="Verdana"/>
          <w:bCs/>
          <w:i/>
          <w:sz w:val="18"/>
          <w:szCs w:val="18"/>
        </w:rPr>
      </w:pPr>
    </w:p>
    <w:p w:rsidR="00E911E8" w:rsidRPr="00AD55C1" w:rsidRDefault="003E7EEA" w:rsidP="00AD55C1">
      <w:pPr>
        <w:spacing w:line="260" w:lineRule="exact"/>
        <w:rPr>
          <w:rFonts w:ascii="Verdana" w:hAnsi="Verdana" w:cs="Verdana"/>
          <w:bCs/>
          <w:i/>
          <w:sz w:val="18"/>
          <w:szCs w:val="18"/>
        </w:rPr>
      </w:pPr>
      <w:r w:rsidRPr="00AD55C1">
        <w:rPr>
          <w:rFonts w:ascii="Verdana" w:hAnsi="Verdana" w:cs="Verdana"/>
          <w:bCs/>
          <w:i/>
          <w:sz w:val="18"/>
          <w:szCs w:val="18"/>
        </w:rPr>
        <w:t>A, onder 7</w:t>
      </w:r>
      <w:r w:rsidR="00E911E8" w:rsidRPr="00AD55C1">
        <w:rPr>
          <w:rFonts w:ascii="Verdana" w:hAnsi="Verdana" w:cs="Verdana"/>
          <w:bCs/>
          <w:i/>
          <w:sz w:val="18"/>
          <w:szCs w:val="18"/>
        </w:rPr>
        <w:t xml:space="preserve"> (artikel </w:t>
      </w:r>
      <w:r w:rsidRPr="00AD55C1">
        <w:rPr>
          <w:rFonts w:ascii="Verdana" w:hAnsi="Verdana" w:cs="Verdana"/>
          <w:bCs/>
          <w:i/>
          <w:sz w:val="18"/>
          <w:szCs w:val="18"/>
        </w:rPr>
        <w:t xml:space="preserve">I, onderdelen Sa en Sb, </w:t>
      </w:r>
      <w:r w:rsidR="00E911E8" w:rsidRPr="00AD55C1">
        <w:rPr>
          <w:rFonts w:ascii="Verdana" w:hAnsi="Verdana" w:cs="Verdana"/>
          <w:bCs/>
          <w:i/>
          <w:sz w:val="18"/>
          <w:szCs w:val="18"/>
        </w:rPr>
        <w:t xml:space="preserve">van de </w:t>
      </w:r>
      <w:r w:rsidRPr="00AD55C1">
        <w:rPr>
          <w:rFonts w:ascii="Verdana" w:hAnsi="Verdana" w:cs="Verdana"/>
          <w:bCs/>
          <w:i/>
          <w:sz w:val="18"/>
          <w:szCs w:val="18"/>
        </w:rPr>
        <w:t>Implementatiew</w:t>
      </w:r>
      <w:r w:rsidR="00E911E8" w:rsidRPr="00AD55C1">
        <w:rPr>
          <w:rFonts w:ascii="Verdana" w:hAnsi="Verdana" w:cs="Verdana"/>
          <w:bCs/>
          <w:i/>
          <w:sz w:val="18"/>
          <w:szCs w:val="18"/>
        </w:rPr>
        <w:t xml:space="preserve">et </w:t>
      </w:r>
      <w:r w:rsidRPr="00AD55C1">
        <w:rPr>
          <w:rStyle w:val="Nadrukcursief"/>
          <w:rFonts w:ascii="Verdana" w:hAnsi="Verdana"/>
          <w:iCs w:val="0"/>
          <w:sz w:val="18"/>
          <w:szCs w:val="18"/>
        </w:rPr>
        <w:t>richtlijn solvabiliteit II</w:t>
      </w:r>
      <w:r w:rsidR="00E911E8" w:rsidRPr="00AD55C1">
        <w:rPr>
          <w:rFonts w:ascii="Verdana" w:hAnsi="Verdana" w:cs="Verdana"/>
          <w:bCs/>
          <w:i/>
          <w:sz w:val="18"/>
          <w:szCs w:val="18"/>
        </w:rPr>
        <w:t>)</w:t>
      </w:r>
    </w:p>
    <w:p w:rsidR="00E911E8" w:rsidRPr="00AD55C1" w:rsidRDefault="00E911E8" w:rsidP="00AD55C1">
      <w:pPr>
        <w:spacing w:line="260" w:lineRule="exact"/>
        <w:rPr>
          <w:rFonts w:ascii="Verdana" w:hAnsi="Verdana" w:cs="Verdana"/>
          <w:bCs/>
          <w:i/>
          <w:sz w:val="18"/>
          <w:szCs w:val="18"/>
        </w:rPr>
      </w:pPr>
      <w:r w:rsidRPr="00AD55C1">
        <w:rPr>
          <w:rFonts w:ascii="Verdana" w:hAnsi="Verdana" w:cs="Verdana"/>
          <w:bCs/>
          <w:sz w:val="18"/>
          <w:szCs w:val="18"/>
        </w:rPr>
        <w:t xml:space="preserve">Met </w:t>
      </w:r>
      <w:r w:rsidR="003E7EEA" w:rsidRPr="00AD55C1">
        <w:rPr>
          <w:rFonts w:ascii="Verdana" w:hAnsi="Verdana" w:cs="Verdana"/>
          <w:bCs/>
          <w:sz w:val="18"/>
          <w:szCs w:val="18"/>
        </w:rPr>
        <w:t xml:space="preserve">onderdeel Sa, waarbij artikel 1:90 van de Wft wordt gewijzigd, </w:t>
      </w:r>
      <w:r w:rsidRPr="00AD55C1">
        <w:rPr>
          <w:rFonts w:ascii="Verdana" w:hAnsi="Verdana" w:cs="Verdana"/>
          <w:bCs/>
          <w:sz w:val="18"/>
          <w:szCs w:val="18"/>
        </w:rPr>
        <w:t xml:space="preserve">wordt artikel 67 bis van richtlijn solvabiliteit II (nieuw ingevoegd door artikel 2, onderdeel 18 van de Omnibus II-richtlijn) geïmplementeerd. In artikel 67 bis van de Omnibus II-richtlijn is opgenomen dat de geheimhoudingsbepaling (artikel 64 van de richtlijn solvabiliteit II) en de regels voor het gebruik van vertrouwelijke informatie (artikel 67 van de richtlijn solvabiliteit II) niet in de weg staan aan de onderzoeksbevoegdheid die het Europees Parlement heeft op grond van artikel 226 van het Verdrag betreffende de werking van de Europese Unie. </w:t>
      </w:r>
    </w:p>
    <w:p w:rsidR="00E911E8" w:rsidRPr="00AD55C1" w:rsidRDefault="003E7EEA" w:rsidP="00AD55C1">
      <w:pPr>
        <w:spacing w:line="260" w:lineRule="exact"/>
        <w:rPr>
          <w:rFonts w:ascii="Verdana" w:hAnsi="Verdana" w:cs="Verdana"/>
          <w:bCs/>
          <w:sz w:val="18"/>
          <w:szCs w:val="18"/>
        </w:rPr>
      </w:pPr>
      <w:r w:rsidRPr="00AD55C1">
        <w:rPr>
          <w:rFonts w:ascii="Verdana" w:hAnsi="Verdana" w:cs="Verdana"/>
          <w:bCs/>
          <w:sz w:val="18"/>
          <w:szCs w:val="18"/>
        </w:rPr>
        <w:t xml:space="preserve">Onderdeel Sb, dat </w:t>
      </w:r>
      <w:r w:rsidR="00E911E8" w:rsidRPr="00AD55C1">
        <w:rPr>
          <w:rFonts w:ascii="Verdana" w:hAnsi="Verdana" w:cs="Verdana"/>
          <w:bCs/>
          <w:sz w:val="18"/>
          <w:szCs w:val="18"/>
        </w:rPr>
        <w:t>artikel 1:93 Wft</w:t>
      </w:r>
      <w:r w:rsidRPr="00AD55C1">
        <w:rPr>
          <w:rFonts w:ascii="Verdana" w:hAnsi="Verdana" w:cs="Verdana"/>
          <w:bCs/>
          <w:sz w:val="18"/>
          <w:szCs w:val="18"/>
        </w:rPr>
        <w:t xml:space="preserve"> wijzigt, </w:t>
      </w:r>
      <w:r w:rsidR="00E911E8" w:rsidRPr="00AD55C1">
        <w:rPr>
          <w:rFonts w:ascii="Verdana" w:hAnsi="Verdana" w:cs="Verdana"/>
          <w:bCs/>
          <w:sz w:val="18"/>
          <w:szCs w:val="18"/>
        </w:rPr>
        <w:t xml:space="preserve">zorgt voor implementatie van artikel 70 van richtlijn solvabiliteit II (zoals gewijzigd door artikel 2, onderdeel 20 van de Omnibus II-richtlijn). Het eerste lid, onderdelen a en b, van artikel 70 van de richtlijn solvabiliteit II </w:t>
      </w:r>
      <w:r w:rsidR="002959FB">
        <w:rPr>
          <w:rFonts w:ascii="Verdana" w:hAnsi="Verdana" w:cs="Verdana"/>
          <w:bCs/>
          <w:sz w:val="18"/>
          <w:szCs w:val="18"/>
        </w:rPr>
        <w:t xml:space="preserve">wordt </w:t>
      </w:r>
      <w:r w:rsidR="00E911E8" w:rsidRPr="00AD55C1">
        <w:rPr>
          <w:rFonts w:ascii="Verdana" w:hAnsi="Verdana" w:cs="Verdana"/>
          <w:bCs/>
          <w:sz w:val="18"/>
          <w:szCs w:val="18"/>
        </w:rPr>
        <w:t xml:space="preserve">geïmplementeerd in het gewijzigde artikel 1:93, eerste lid, onderdeel a. Artikel 70, eerste lid, onderdeel c, van richtlijn solvabiliteit II is al geïmplementeerd in artikel 1:90, zevende lid, van de Wft. </w:t>
      </w:r>
    </w:p>
    <w:p w:rsidR="00100581" w:rsidRDefault="00100581" w:rsidP="00AD55C1">
      <w:pPr>
        <w:pStyle w:val="Default"/>
        <w:widowControl w:val="0"/>
        <w:spacing w:line="260" w:lineRule="exact"/>
        <w:rPr>
          <w:rStyle w:val="Nadrukcursief"/>
          <w:rFonts w:ascii="Verdana" w:hAnsi="Verdana"/>
          <w:iCs w:val="0"/>
          <w:sz w:val="18"/>
          <w:szCs w:val="18"/>
        </w:rPr>
      </w:pPr>
    </w:p>
    <w:p w:rsidR="000F3689" w:rsidRPr="00AD55C1" w:rsidRDefault="000F3689"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w:t>
      </w:r>
      <w:r w:rsidR="003E7EEA" w:rsidRPr="00AD55C1">
        <w:rPr>
          <w:rStyle w:val="Nadrukcursief"/>
          <w:rFonts w:ascii="Verdana" w:hAnsi="Verdana"/>
          <w:iCs w:val="0"/>
          <w:sz w:val="18"/>
          <w:szCs w:val="18"/>
        </w:rPr>
        <w:t xml:space="preserve">8 </w:t>
      </w:r>
      <w:r w:rsidRPr="00AD55C1">
        <w:rPr>
          <w:rStyle w:val="Nadrukcursief"/>
          <w:rFonts w:ascii="Verdana" w:hAnsi="Verdana"/>
          <w:iCs w:val="0"/>
          <w:sz w:val="18"/>
          <w:szCs w:val="18"/>
        </w:rPr>
        <w:t>(artikel I, onderdel</w:t>
      </w:r>
      <w:r w:rsidR="00755A67" w:rsidRPr="00AD55C1">
        <w:rPr>
          <w:rStyle w:val="Nadrukcursief"/>
          <w:rFonts w:ascii="Verdana" w:hAnsi="Verdana"/>
          <w:iCs w:val="0"/>
          <w:sz w:val="18"/>
          <w:szCs w:val="18"/>
        </w:rPr>
        <w:t>en</w:t>
      </w:r>
      <w:r w:rsidRPr="00AD55C1">
        <w:rPr>
          <w:rStyle w:val="Nadrukcursief"/>
          <w:rFonts w:ascii="Verdana" w:hAnsi="Verdana"/>
          <w:iCs w:val="0"/>
          <w:sz w:val="18"/>
          <w:szCs w:val="18"/>
        </w:rPr>
        <w:t xml:space="preserve"> Ua</w:t>
      </w:r>
      <w:r w:rsidR="00755A67" w:rsidRPr="00AD55C1">
        <w:rPr>
          <w:rStyle w:val="Nadrukcursief"/>
          <w:rFonts w:ascii="Verdana" w:hAnsi="Verdana"/>
          <w:iCs w:val="0"/>
          <w:sz w:val="18"/>
          <w:szCs w:val="18"/>
        </w:rPr>
        <w:t xml:space="preserve"> en Ub</w:t>
      </w:r>
      <w:r w:rsidRPr="00AD55C1">
        <w:rPr>
          <w:rStyle w:val="Nadrukcursief"/>
          <w:rFonts w:ascii="Verdana" w:hAnsi="Verdana"/>
          <w:iCs w:val="0"/>
          <w:sz w:val="18"/>
          <w:szCs w:val="18"/>
        </w:rPr>
        <w:t>, van de Implementatiewet richtlijn solvabiliteit II)</w:t>
      </w:r>
    </w:p>
    <w:p w:rsidR="008F1683" w:rsidRDefault="008F1683" w:rsidP="00AD55C1">
      <w:pPr>
        <w:pStyle w:val="Default"/>
        <w:widowControl w:val="0"/>
        <w:spacing w:line="260" w:lineRule="exact"/>
        <w:rPr>
          <w:rStyle w:val="Nadrukcursief"/>
          <w:rFonts w:ascii="Verdana" w:hAnsi="Verdana"/>
          <w:i w:val="0"/>
          <w:iCs w:val="0"/>
          <w:sz w:val="18"/>
          <w:szCs w:val="18"/>
        </w:rPr>
      </w:pPr>
      <w:r>
        <w:rPr>
          <w:rStyle w:val="Nadrukcursief"/>
          <w:rFonts w:ascii="Verdana" w:hAnsi="Verdana"/>
          <w:i w:val="0"/>
          <w:iCs w:val="0"/>
          <w:sz w:val="18"/>
          <w:szCs w:val="18"/>
        </w:rPr>
        <w:t>Artikel I, onderdeel Ua, betreft het opschrift van afdeling 1.6.1a. De in het opschrift genoemde artikelen zijn aangevuld met artikel 3:97.</w:t>
      </w:r>
    </w:p>
    <w:p w:rsidR="00402DB5" w:rsidRPr="00AD55C1" w:rsidRDefault="00DE131D" w:rsidP="00AD55C1">
      <w:pPr>
        <w:pStyle w:val="Default"/>
        <w:widowControl w:val="0"/>
        <w:spacing w:line="260" w:lineRule="exact"/>
        <w:rPr>
          <w:rFonts w:ascii="Verdana" w:hAnsi="Verdana" w:cs="Arial"/>
          <w:sz w:val="18"/>
          <w:szCs w:val="18"/>
        </w:rPr>
      </w:pPr>
      <w:r w:rsidRPr="00AD55C1">
        <w:rPr>
          <w:rStyle w:val="Nadrukcursief"/>
          <w:rFonts w:ascii="Verdana" w:hAnsi="Verdana"/>
          <w:i w:val="0"/>
          <w:iCs w:val="0"/>
          <w:sz w:val="18"/>
          <w:szCs w:val="18"/>
        </w:rPr>
        <w:t>Artikel I, onderde</w:t>
      </w:r>
      <w:r w:rsidR="00100581">
        <w:rPr>
          <w:rStyle w:val="Nadrukcursief"/>
          <w:rFonts w:ascii="Verdana" w:hAnsi="Verdana"/>
          <w:i w:val="0"/>
          <w:iCs w:val="0"/>
          <w:sz w:val="18"/>
          <w:szCs w:val="18"/>
        </w:rPr>
        <w:t>e</w:t>
      </w:r>
      <w:r w:rsidRPr="00AD55C1">
        <w:rPr>
          <w:rStyle w:val="Nadrukcursief"/>
          <w:rFonts w:ascii="Verdana" w:hAnsi="Verdana"/>
          <w:i w:val="0"/>
          <w:iCs w:val="0"/>
          <w:sz w:val="18"/>
          <w:szCs w:val="18"/>
        </w:rPr>
        <w:t xml:space="preserve">l </w:t>
      </w:r>
      <w:r w:rsidR="00755A67" w:rsidRPr="00AD55C1">
        <w:rPr>
          <w:rStyle w:val="Nadrukcursief"/>
          <w:rFonts w:ascii="Verdana" w:hAnsi="Verdana"/>
          <w:i w:val="0"/>
          <w:iCs w:val="0"/>
          <w:sz w:val="18"/>
          <w:szCs w:val="18"/>
        </w:rPr>
        <w:t>Ub</w:t>
      </w:r>
      <w:r w:rsidRPr="00AD55C1">
        <w:rPr>
          <w:rStyle w:val="Nadrukcursief"/>
          <w:rFonts w:ascii="Verdana" w:hAnsi="Verdana"/>
          <w:i w:val="0"/>
          <w:iCs w:val="0"/>
          <w:sz w:val="18"/>
          <w:szCs w:val="18"/>
        </w:rPr>
        <w:t xml:space="preserve">, van de Implementatiewet richtlijn solvabiliteit II betreft artikel 1:106a </w:t>
      </w:r>
      <w:r w:rsidR="00100581">
        <w:rPr>
          <w:rStyle w:val="Nadrukcursief"/>
          <w:rFonts w:ascii="Verdana" w:hAnsi="Verdana"/>
          <w:i w:val="0"/>
          <w:iCs w:val="0"/>
          <w:sz w:val="18"/>
          <w:szCs w:val="18"/>
        </w:rPr>
        <w:t xml:space="preserve">van de </w:t>
      </w:r>
      <w:r w:rsidRPr="00AD55C1">
        <w:rPr>
          <w:rStyle w:val="Nadrukcursief"/>
          <w:rFonts w:ascii="Verdana" w:hAnsi="Verdana"/>
          <w:i w:val="0"/>
          <w:iCs w:val="0"/>
          <w:sz w:val="18"/>
          <w:szCs w:val="18"/>
        </w:rPr>
        <w:t xml:space="preserve">Wft. </w:t>
      </w:r>
      <w:r w:rsidR="000F3689" w:rsidRPr="00AD55C1">
        <w:rPr>
          <w:rStyle w:val="Nadrukcursief"/>
          <w:rFonts w:ascii="Verdana" w:hAnsi="Verdana"/>
          <w:i w:val="0"/>
          <w:iCs w:val="0"/>
          <w:sz w:val="18"/>
          <w:szCs w:val="18"/>
        </w:rPr>
        <w:t xml:space="preserve">In artikel 1:106a </w:t>
      </w:r>
      <w:r w:rsidR="00D756CC" w:rsidRPr="00AD55C1">
        <w:rPr>
          <w:rStyle w:val="Nadrukcursief"/>
          <w:rFonts w:ascii="Verdana" w:hAnsi="Verdana"/>
          <w:i w:val="0"/>
          <w:iCs w:val="0"/>
          <w:sz w:val="18"/>
          <w:szCs w:val="18"/>
        </w:rPr>
        <w:t xml:space="preserve">moet ook </w:t>
      </w:r>
      <w:r w:rsidR="000F3689" w:rsidRPr="00AD55C1">
        <w:rPr>
          <w:rStyle w:val="Nadrukcursief"/>
          <w:rFonts w:ascii="Verdana" w:hAnsi="Verdana"/>
          <w:i w:val="0"/>
          <w:iCs w:val="0"/>
          <w:sz w:val="18"/>
          <w:szCs w:val="18"/>
        </w:rPr>
        <w:t>worden verwezen naar artikel 3:97.</w:t>
      </w:r>
      <w:r w:rsidR="00D756CC" w:rsidRPr="00AD55C1">
        <w:rPr>
          <w:rStyle w:val="Nadrukcursief"/>
          <w:rFonts w:ascii="Verdana" w:hAnsi="Verdana"/>
          <w:i w:val="0"/>
          <w:iCs w:val="0"/>
          <w:sz w:val="18"/>
          <w:szCs w:val="18"/>
        </w:rPr>
        <w:t xml:space="preserve"> In artikel 1:106a is bepaald dat voor de afgifte van een verklaring van geen bezwaar de artikelen 1</w:t>
      </w:r>
      <w:r w:rsidR="00D756CC" w:rsidRPr="00AD55C1">
        <w:rPr>
          <w:rFonts w:ascii="Verdana" w:hAnsi="Verdana" w:cs="Arial"/>
          <w:sz w:val="18"/>
          <w:szCs w:val="18"/>
        </w:rPr>
        <w:t>:102, eerste en tweede lid (wijze waarop de verklaring moet worden aangevraagd en verbinden van voorwaarden aan de verklaring), 1:104 (geheel of gedeeltelijke intrekking van de verklaring) en 1:106 (</w:t>
      </w:r>
      <w:r w:rsidR="00C52BDF" w:rsidRPr="00AD55C1">
        <w:rPr>
          <w:rFonts w:ascii="Verdana" w:hAnsi="Verdana" w:cs="Arial"/>
          <w:sz w:val="18"/>
          <w:szCs w:val="18"/>
        </w:rPr>
        <w:t xml:space="preserve">opschorting aanvragen) </w:t>
      </w:r>
      <w:r w:rsidR="00D756CC" w:rsidRPr="00AD55C1">
        <w:rPr>
          <w:rFonts w:ascii="Verdana" w:hAnsi="Verdana" w:cs="Arial"/>
          <w:sz w:val="18"/>
          <w:szCs w:val="18"/>
        </w:rPr>
        <w:t xml:space="preserve">van overeenkomstige toepassing zijn. </w:t>
      </w:r>
      <w:r w:rsidR="00DC041A" w:rsidRPr="00AD55C1">
        <w:rPr>
          <w:rFonts w:ascii="Verdana" w:hAnsi="Verdana" w:cs="Verdana"/>
          <w:bCs/>
          <w:sz w:val="18"/>
          <w:szCs w:val="18"/>
        </w:rPr>
        <w:t>Het opschrift van afdeling 1.6.1a wordt overeenkomstig aangepast.</w:t>
      </w:r>
    </w:p>
    <w:p w:rsidR="00D756CC" w:rsidRPr="00AD55C1" w:rsidRDefault="00D756CC" w:rsidP="00AD55C1">
      <w:pPr>
        <w:pStyle w:val="Default"/>
        <w:widowControl w:val="0"/>
        <w:spacing w:line="260" w:lineRule="exact"/>
        <w:rPr>
          <w:rFonts w:ascii="Verdana" w:hAnsi="Verdana"/>
          <w:sz w:val="18"/>
          <w:szCs w:val="18"/>
        </w:rPr>
      </w:pPr>
    </w:p>
    <w:p w:rsidR="00CF6656" w:rsidRPr="00AD55C1" w:rsidRDefault="00CF6656"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9 (artikel I, onderdeel V, van de Implementatiewet richtlijn solvabiliteit II)</w:t>
      </w:r>
    </w:p>
    <w:p w:rsidR="00CF6656" w:rsidRPr="00AD55C1" w:rsidRDefault="00CF6656"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Artikel I, onderdeel V, van de Implementatiewet richtlijn solvabiliteit II betreft artikel 1:107 Wft. Door </w:t>
      </w:r>
      <w:r w:rsidR="008F1683">
        <w:rPr>
          <w:rStyle w:val="Nadrukcursief"/>
          <w:rFonts w:ascii="Verdana" w:hAnsi="Verdana"/>
          <w:i w:val="0"/>
          <w:iCs w:val="0"/>
          <w:sz w:val="18"/>
          <w:szCs w:val="18"/>
        </w:rPr>
        <w:t xml:space="preserve">de </w:t>
      </w:r>
      <w:r w:rsidRPr="00AD55C1">
        <w:rPr>
          <w:rStyle w:val="Nadrukcursief"/>
          <w:rFonts w:ascii="Verdana" w:hAnsi="Verdana"/>
          <w:i w:val="0"/>
          <w:iCs w:val="0"/>
          <w:sz w:val="18"/>
          <w:szCs w:val="18"/>
        </w:rPr>
        <w:t xml:space="preserve">Wijzigingswet financiële markten 2015 </w:t>
      </w:r>
      <w:r w:rsidR="00AE7206">
        <w:rPr>
          <w:rStyle w:val="Nadrukcursief"/>
          <w:rFonts w:ascii="Verdana" w:hAnsi="Verdana"/>
          <w:i w:val="0"/>
          <w:iCs w:val="0"/>
          <w:sz w:val="18"/>
          <w:szCs w:val="18"/>
        </w:rPr>
        <w:t xml:space="preserve">is </w:t>
      </w:r>
      <w:r w:rsidRPr="00AD55C1">
        <w:rPr>
          <w:rStyle w:val="Nadrukcursief"/>
          <w:rFonts w:ascii="Verdana" w:hAnsi="Verdana"/>
          <w:i w:val="0"/>
          <w:iCs w:val="0"/>
          <w:sz w:val="18"/>
          <w:szCs w:val="18"/>
        </w:rPr>
        <w:t>in artikel 1:107, tweede lid, een subonderdeel ingevoegd. Als gevolg daarvan moeten de verwijzingen naar de subonderdelen van artikel 1:107, tweede lid, hiermee in overeenstemming worden gebracht.</w:t>
      </w:r>
    </w:p>
    <w:p w:rsidR="00CF6656" w:rsidRPr="00AD55C1" w:rsidRDefault="00CF6656" w:rsidP="00AD55C1">
      <w:pPr>
        <w:pStyle w:val="Default"/>
        <w:widowControl w:val="0"/>
        <w:spacing w:line="260" w:lineRule="exact"/>
        <w:rPr>
          <w:rStyle w:val="Nadrukcursief"/>
          <w:rFonts w:ascii="Verdana" w:hAnsi="Verdana"/>
          <w:iCs w:val="0"/>
          <w:sz w:val="18"/>
          <w:szCs w:val="18"/>
        </w:rPr>
      </w:pPr>
    </w:p>
    <w:p w:rsidR="00CF6656" w:rsidRPr="00AD55C1" w:rsidRDefault="00CF6656"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10 (artikel I, onderdelen Wa en Wb, van de Implementatiewet richtlijn solvabiliteit II)</w:t>
      </w:r>
    </w:p>
    <w:p w:rsidR="00A662A9" w:rsidRPr="00AD55C1" w:rsidRDefault="00A662A9" w:rsidP="00AD55C1">
      <w:pPr>
        <w:pStyle w:val="Tekstopmerking"/>
        <w:spacing w:line="260" w:lineRule="exact"/>
        <w:rPr>
          <w:rFonts w:ascii="Verdana" w:hAnsi="Verdana" w:cs="Verdana"/>
          <w:bCs/>
          <w:sz w:val="18"/>
          <w:szCs w:val="18"/>
        </w:rPr>
      </w:pPr>
      <w:r w:rsidRPr="00AD55C1">
        <w:rPr>
          <w:rFonts w:ascii="Verdana" w:hAnsi="Verdana" w:cs="Verdana"/>
          <w:bCs/>
          <w:sz w:val="18"/>
          <w:szCs w:val="18"/>
        </w:rPr>
        <w:lastRenderedPageBreak/>
        <w:t xml:space="preserve">De wijziging </w:t>
      </w:r>
      <w:r w:rsidR="00CF6656" w:rsidRPr="00AD55C1">
        <w:rPr>
          <w:rFonts w:ascii="Verdana" w:hAnsi="Verdana" w:cs="Verdana"/>
          <w:bCs/>
          <w:sz w:val="18"/>
          <w:szCs w:val="18"/>
        </w:rPr>
        <w:t xml:space="preserve">in onderdeel Wa </w:t>
      </w:r>
      <w:r w:rsidRPr="00AD55C1">
        <w:rPr>
          <w:rFonts w:ascii="Verdana" w:hAnsi="Verdana" w:cs="Verdana"/>
          <w:bCs/>
          <w:sz w:val="18"/>
          <w:szCs w:val="18"/>
        </w:rPr>
        <w:t xml:space="preserve">zorgt voor implementatie van artikel 172 van richtlijn solvabiliteit II (zoals gewijzigd door artikel 2, onderdeel 42 van de Omnibus II-richtlijn). De Europese Commissie zal gedelegeerde handelingen vaststellen die criteria bevatten om te bepalen of de solvabiliteitsregeling van een staat die geen lidstaat is gelijkwaardig is aan de regeling in de richtlijn solvabiliteit II. Daardoor is er geen ruimte meer om die criteria bij algemene maatregel van bestuur vast te stellen en dient in artikel 2:26d, derde lid, </w:t>
      </w:r>
      <w:r w:rsidR="00100581">
        <w:rPr>
          <w:rFonts w:ascii="Verdana" w:hAnsi="Verdana" w:cs="Verdana"/>
          <w:bCs/>
          <w:sz w:val="18"/>
          <w:szCs w:val="18"/>
        </w:rPr>
        <w:t xml:space="preserve">Wft </w:t>
      </w:r>
      <w:r w:rsidRPr="00AD55C1">
        <w:rPr>
          <w:rFonts w:ascii="Verdana" w:hAnsi="Verdana" w:cs="Verdana"/>
          <w:bCs/>
          <w:sz w:val="18"/>
          <w:szCs w:val="18"/>
        </w:rPr>
        <w:t>de tweede vol</w:t>
      </w:r>
      <w:r w:rsidR="00CF6656" w:rsidRPr="00AD55C1">
        <w:rPr>
          <w:rFonts w:ascii="Verdana" w:hAnsi="Verdana" w:cs="Verdana"/>
          <w:bCs/>
          <w:sz w:val="18"/>
          <w:szCs w:val="18"/>
        </w:rPr>
        <w:t>zin te vervallen.</w:t>
      </w:r>
    </w:p>
    <w:p w:rsidR="00CB3EC0" w:rsidRPr="00AD55C1" w:rsidRDefault="00CF6656" w:rsidP="00AD55C1">
      <w:pPr>
        <w:spacing w:line="260" w:lineRule="exact"/>
        <w:rPr>
          <w:rFonts w:ascii="Verdana" w:hAnsi="Verdana"/>
          <w:sz w:val="18"/>
          <w:szCs w:val="18"/>
        </w:rPr>
      </w:pPr>
      <w:r w:rsidRPr="00AD55C1">
        <w:rPr>
          <w:rFonts w:ascii="Verdana" w:hAnsi="Verdana"/>
          <w:sz w:val="18"/>
          <w:szCs w:val="18"/>
        </w:rPr>
        <w:t xml:space="preserve">De wijziging in onderdeel Wb </w:t>
      </w:r>
      <w:r w:rsidR="002959FB">
        <w:rPr>
          <w:rFonts w:ascii="Verdana" w:hAnsi="Verdana"/>
          <w:sz w:val="18"/>
          <w:szCs w:val="18"/>
        </w:rPr>
        <w:t xml:space="preserve">(nieuw) </w:t>
      </w:r>
      <w:r w:rsidRPr="00AD55C1">
        <w:rPr>
          <w:rFonts w:ascii="Verdana" w:hAnsi="Verdana"/>
          <w:sz w:val="18"/>
          <w:szCs w:val="18"/>
        </w:rPr>
        <w:t xml:space="preserve">beoogt de </w:t>
      </w:r>
      <w:r w:rsidR="002959FB">
        <w:rPr>
          <w:rFonts w:ascii="Verdana" w:hAnsi="Verdana"/>
          <w:sz w:val="18"/>
          <w:szCs w:val="18"/>
        </w:rPr>
        <w:t xml:space="preserve">gewijzigde </w:t>
      </w:r>
      <w:r w:rsidRPr="00AD55C1">
        <w:rPr>
          <w:rFonts w:ascii="Verdana" w:hAnsi="Verdana"/>
          <w:sz w:val="18"/>
          <w:szCs w:val="18"/>
        </w:rPr>
        <w:t>reikwijdte van afdeling 2.2.3 duidelijk te maken.</w:t>
      </w:r>
    </w:p>
    <w:p w:rsidR="00CB3EC0" w:rsidRPr="00AD55C1" w:rsidRDefault="00CB3EC0" w:rsidP="00AD55C1">
      <w:pPr>
        <w:spacing w:line="260" w:lineRule="exact"/>
        <w:rPr>
          <w:rFonts w:ascii="Verdana" w:hAnsi="Verdana"/>
          <w:sz w:val="18"/>
          <w:szCs w:val="18"/>
        </w:rPr>
      </w:pPr>
    </w:p>
    <w:p w:rsidR="00CF6656" w:rsidRPr="00AD55C1" w:rsidRDefault="00CF6656"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11 (artikel I, onderdeel X, van de Implementatiewet richtlijn solvabiliteit II)</w:t>
      </w:r>
    </w:p>
    <w:p w:rsidR="00CF6656" w:rsidRPr="00AD55C1" w:rsidRDefault="00CF6656" w:rsidP="00AD55C1">
      <w:pPr>
        <w:pStyle w:val="Tekstopmerking"/>
        <w:spacing w:line="260" w:lineRule="exact"/>
        <w:rPr>
          <w:rFonts w:ascii="Verdana" w:hAnsi="Verdana"/>
          <w:sz w:val="18"/>
          <w:szCs w:val="18"/>
        </w:rPr>
      </w:pPr>
      <w:r w:rsidRPr="00AD55C1">
        <w:rPr>
          <w:rFonts w:ascii="Verdana" w:hAnsi="Verdana"/>
          <w:sz w:val="18"/>
          <w:szCs w:val="18"/>
        </w:rPr>
        <w:t>Voor een</w:t>
      </w:r>
      <w:r w:rsidR="00A21FF7" w:rsidRPr="00AD55C1">
        <w:rPr>
          <w:rFonts w:ascii="Verdana" w:hAnsi="Verdana"/>
          <w:sz w:val="18"/>
          <w:szCs w:val="18"/>
        </w:rPr>
        <w:t xml:space="preserve"> </w:t>
      </w:r>
      <w:r w:rsidRPr="00AD55C1">
        <w:rPr>
          <w:rFonts w:ascii="Verdana" w:hAnsi="Verdana"/>
          <w:sz w:val="18"/>
          <w:szCs w:val="18"/>
        </w:rPr>
        <w:t>toelic</w:t>
      </w:r>
      <w:r w:rsidR="00A21FF7" w:rsidRPr="00AD55C1">
        <w:rPr>
          <w:rFonts w:ascii="Verdana" w:hAnsi="Verdana"/>
          <w:sz w:val="18"/>
          <w:szCs w:val="18"/>
        </w:rPr>
        <w:t>h</w:t>
      </w:r>
      <w:r w:rsidRPr="00AD55C1">
        <w:rPr>
          <w:rFonts w:ascii="Verdana" w:hAnsi="Verdana"/>
          <w:sz w:val="18"/>
          <w:szCs w:val="18"/>
        </w:rPr>
        <w:t>ting</w:t>
      </w:r>
      <w:r w:rsidR="00A21FF7" w:rsidRPr="00AD55C1">
        <w:rPr>
          <w:rFonts w:ascii="Verdana" w:hAnsi="Verdana"/>
          <w:sz w:val="18"/>
          <w:szCs w:val="18"/>
        </w:rPr>
        <w:t xml:space="preserve"> </w:t>
      </w:r>
      <w:r w:rsidRPr="00AD55C1">
        <w:rPr>
          <w:rFonts w:ascii="Verdana" w:hAnsi="Verdana"/>
          <w:sz w:val="18"/>
          <w:szCs w:val="18"/>
        </w:rPr>
        <w:t>wordt verwezen</w:t>
      </w:r>
      <w:r w:rsidR="00A21FF7" w:rsidRPr="00AD55C1">
        <w:rPr>
          <w:rFonts w:ascii="Verdana" w:hAnsi="Verdana"/>
          <w:sz w:val="18"/>
          <w:szCs w:val="18"/>
        </w:rPr>
        <w:t xml:space="preserve"> </w:t>
      </w:r>
      <w:r w:rsidRPr="00AD55C1">
        <w:rPr>
          <w:rFonts w:ascii="Verdana" w:hAnsi="Verdana"/>
          <w:sz w:val="18"/>
          <w:szCs w:val="18"/>
        </w:rPr>
        <w:t xml:space="preserve">naar paragraaf </w:t>
      </w:r>
      <w:r w:rsidR="00A21FF7" w:rsidRPr="00AD55C1">
        <w:rPr>
          <w:rFonts w:ascii="Verdana" w:hAnsi="Verdana"/>
          <w:sz w:val="18"/>
          <w:szCs w:val="18"/>
        </w:rPr>
        <w:t>5 van het algemeen gedeelte van deze toelichting. Door de gekozen systematiek, waarbij de vergunningverlening voor verzekeraars met beperkte risico-omvang met zetel in Nederland wordt geregeld in artikel 2:48</w:t>
      </w:r>
      <w:r w:rsidR="00100581">
        <w:rPr>
          <w:rFonts w:ascii="Verdana" w:hAnsi="Verdana"/>
          <w:sz w:val="18"/>
          <w:szCs w:val="18"/>
        </w:rPr>
        <w:t xml:space="preserve"> Wft</w:t>
      </w:r>
      <w:r w:rsidR="00A21FF7" w:rsidRPr="00AD55C1">
        <w:rPr>
          <w:rFonts w:ascii="Verdana" w:hAnsi="Verdana"/>
          <w:sz w:val="18"/>
          <w:szCs w:val="18"/>
        </w:rPr>
        <w:t>, kan artikel 2:27</w:t>
      </w:r>
      <w:r w:rsidR="00D7434E" w:rsidRPr="00AD55C1">
        <w:rPr>
          <w:rFonts w:ascii="Verdana" w:hAnsi="Verdana"/>
          <w:sz w:val="18"/>
          <w:szCs w:val="18"/>
        </w:rPr>
        <w:t>, eerste lid,</w:t>
      </w:r>
      <w:r w:rsidR="00A21FF7" w:rsidRPr="00AD55C1">
        <w:rPr>
          <w:rFonts w:ascii="Verdana" w:hAnsi="Verdana"/>
          <w:sz w:val="18"/>
          <w:szCs w:val="18"/>
        </w:rPr>
        <w:t xml:space="preserve"> </w:t>
      </w:r>
      <w:r w:rsidR="00100581">
        <w:rPr>
          <w:rFonts w:ascii="Verdana" w:hAnsi="Verdana"/>
          <w:sz w:val="18"/>
          <w:szCs w:val="18"/>
        </w:rPr>
        <w:t xml:space="preserve">Wft </w:t>
      </w:r>
      <w:r w:rsidR="00A21FF7" w:rsidRPr="00AD55C1">
        <w:rPr>
          <w:rFonts w:ascii="Verdana" w:hAnsi="Verdana"/>
          <w:sz w:val="18"/>
          <w:szCs w:val="18"/>
        </w:rPr>
        <w:t>ongewijzigd blijven.</w:t>
      </w:r>
    </w:p>
    <w:p w:rsidR="00CF6656" w:rsidRPr="00AD55C1" w:rsidRDefault="00CF6656" w:rsidP="00AD55C1">
      <w:pPr>
        <w:pStyle w:val="Tekstopmerking"/>
        <w:spacing w:line="260" w:lineRule="exact"/>
        <w:rPr>
          <w:rFonts w:ascii="Verdana" w:hAnsi="Verdana"/>
          <w:sz w:val="18"/>
          <w:szCs w:val="18"/>
        </w:rPr>
      </w:pPr>
    </w:p>
    <w:p w:rsidR="00A21FF7" w:rsidRPr="00AD55C1" w:rsidRDefault="00A21FF7"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12 (artikel I, onderdeel Y, van de Implementatiewet richtlijn solvabiliteit II)</w:t>
      </w:r>
    </w:p>
    <w:p w:rsidR="00EB7856" w:rsidRPr="00AD55C1" w:rsidRDefault="00100581" w:rsidP="00AD55C1">
      <w:pPr>
        <w:tabs>
          <w:tab w:val="left" w:pos="3402"/>
        </w:tabs>
        <w:spacing w:line="260" w:lineRule="exact"/>
        <w:rPr>
          <w:rFonts w:ascii="Verdana" w:hAnsi="Verdana"/>
          <w:color w:val="000000"/>
          <w:sz w:val="18"/>
          <w:szCs w:val="18"/>
        </w:rPr>
      </w:pPr>
      <w:r>
        <w:rPr>
          <w:rFonts w:ascii="Verdana" w:hAnsi="Verdana"/>
          <w:color w:val="000000"/>
          <w:sz w:val="18"/>
          <w:szCs w:val="18"/>
        </w:rPr>
        <w:t>De aanpassing in onderdeel Y is overbodig geworden</w:t>
      </w:r>
      <w:r w:rsidR="00F8537C">
        <w:rPr>
          <w:rFonts w:ascii="Verdana" w:hAnsi="Verdana"/>
          <w:color w:val="000000"/>
          <w:sz w:val="18"/>
          <w:szCs w:val="18"/>
        </w:rPr>
        <w:t xml:space="preserve"> omdat artikel 2:27, eerste lid, Wft niet wordt gewijzigd</w:t>
      </w:r>
      <w:r>
        <w:rPr>
          <w:rFonts w:ascii="Verdana" w:hAnsi="Verdana"/>
          <w:color w:val="000000"/>
          <w:sz w:val="18"/>
          <w:szCs w:val="18"/>
        </w:rPr>
        <w:t>. In plaats daarvan wordt a</w:t>
      </w:r>
      <w:r w:rsidR="00EB7856" w:rsidRPr="00AD55C1">
        <w:rPr>
          <w:rFonts w:ascii="Verdana" w:hAnsi="Verdana"/>
          <w:color w:val="000000"/>
          <w:sz w:val="18"/>
          <w:szCs w:val="18"/>
        </w:rPr>
        <w:t xml:space="preserve">rtikel 2:32, eerste lid, </w:t>
      </w:r>
      <w:r w:rsidR="00F8537C">
        <w:rPr>
          <w:rFonts w:ascii="Verdana" w:hAnsi="Verdana"/>
          <w:color w:val="000000"/>
          <w:sz w:val="18"/>
          <w:szCs w:val="18"/>
        </w:rPr>
        <w:t xml:space="preserve">Wft </w:t>
      </w:r>
      <w:r w:rsidR="00EB7856" w:rsidRPr="00AD55C1">
        <w:rPr>
          <w:rFonts w:ascii="Verdana" w:hAnsi="Verdana"/>
          <w:color w:val="000000"/>
          <w:sz w:val="18"/>
          <w:szCs w:val="18"/>
        </w:rPr>
        <w:t xml:space="preserve">gepreciseerd, omdat een schadeverzekeraar met beperkte risico-omvang geen </w:t>
      </w:r>
      <w:r w:rsidR="00AE7206">
        <w:rPr>
          <w:rFonts w:ascii="Verdana" w:hAnsi="Verdana"/>
          <w:color w:val="000000"/>
          <w:sz w:val="18"/>
          <w:szCs w:val="18"/>
        </w:rPr>
        <w:t xml:space="preserve">verzekeringsactiviteiten in de </w:t>
      </w:r>
      <w:r w:rsidR="00EB7856" w:rsidRPr="00AD55C1">
        <w:rPr>
          <w:rFonts w:ascii="Verdana" w:hAnsi="Verdana"/>
          <w:color w:val="000000"/>
          <w:sz w:val="18"/>
          <w:szCs w:val="18"/>
        </w:rPr>
        <w:t>aansprakelijkheidsbranches mag uitoefenen.</w:t>
      </w:r>
    </w:p>
    <w:p w:rsidR="00A21FF7" w:rsidRPr="00AD55C1" w:rsidRDefault="00A21FF7" w:rsidP="00AD55C1">
      <w:pPr>
        <w:pStyle w:val="Tekstopmerking"/>
        <w:spacing w:line="260" w:lineRule="exact"/>
        <w:rPr>
          <w:rFonts w:ascii="Verdana" w:hAnsi="Verdana"/>
          <w:sz w:val="18"/>
          <w:szCs w:val="18"/>
        </w:rPr>
      </w:pPr>
    </w:p>
    <w:p w:rsidR="00EB7856" w:rsidRPr="00AD55C1" w:rsidRDefault="00EB7856"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13 (artikel I, onderdeel Z, van de Implementatiewet richtlijn solvabiliteit II)</w:t>
      </w:r>
    </w:p>
    <w:p w:rsidR="00EB7856" w:rsidRPr="00AD55C1" w:rsidRDefault="00EB7856" w:rsidP="00AD55C1">
      <w:pPr>
        <w:spacing w:line="260" w:lineRule="exact"/>
        <w:rPr>
          <w:rFonts w:ascii="Verdana" w:hAnsi="Verdana" w:cs="Verdana"/>
          <w:sz w:val="18"/>
          <w:szCs w:val="18"/>
        </w:rPr>
      </w:pPr>
      <w:r w:rsidRPr="00AD55C1">
        <w:rPr>
          <w:rFonts w:ascii="Verdana" w:hAnsi="Verdana" w:cs="Verdana"/>
          <w:sz w:val="18"/>
          <w:szCs w:val="18"/>
        </w:rPr>
        <w:t>Er kan geen vrijstelling worden verleend aan een verzekeraar met zetel in Nederland die een vergunning ingevolge artikel 14 van de richtlijn solvabiliteit II heeft.</w:t>
      </w:r>
      <w:r w:rsidR="006B2CA4" w:rsidRPr="00AD55C1">
        <w:rPr>
          <w:rFonts w:ascii="Verdana" w:hAnsi="Verdana" w:cs="Verdana"/>
          <w:sz w:val="18"/>
          <w:szCs w:val="18"/>
        </w:rPr>
        <w:t xml:space="preserve"> Daarom vervalt onderdeel Z.</w:t>
      </w:r>
    </w:p>
    <w:p w:rsidR="00EB7856" w:rsidRPr="00AD55C1" w:rsidRDefault="00EB7856" w:rsidP="00AD55C1">
      <w:pPr>
        <w:pStyle w:val="Tekstopmerking"/>
        <w:spacing w:line="260" w:lineRule="exact"/>
        <w:rPr>
          <w:rFonts w:ascii="Verdana" w:hAnsi="Verdana"/>
          <w:sz w:val="18"/>
          <w:szCs w:val="18"/>
        </w:rPr>
      </w:pPr>
    </w:p>
    <w:p w:rsidR="00EB7856" w:rsidRPr="00AD55C1" w:rsidRDefault="00EB7856"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w:t>
      </w:r>
      <w:r w:rsidR="00956C79" w:rsidRPr="00AD55C1">
        <w:rPr>
          <w:rStyle w:val="Nadrukcursief"/>
          <w:rFonts w:ascii="Verdana" w:hAnsi="Verdana"/>
          <w:iCs w:val="0"/>
          <w:sz w:val="18"/>
          <w:szCs w:val="18"/>
        </w:rPr>
        <w:t>4</w:t>
      </w:r>
      <w:r w:rsidRPr="00AD55C1">
        <w:rPr>
          <w:rStyle w:val="Nadrukcursief"/>
          <w:rFonts w:ascii="Verdana" w:hAnsi="Verdana"/>
          <w:iCs w:val="0"/>
          <w:sz w:val="18"/>
          <w:szCs w:val="18"/>
        </w:rPr>
        <w:t xml:space="preserve"> (artikel I, onderdeel AB, van de Implementatiewet richtlijn solvabiliteit II)</w:t>
      </w:r>
    </w:p>
    <w:p w:rsidR="00A26DE8" w:rsidRPr="00AD55C1" w:rsidRDefault="003F42FF" w:rsidP="00AD55C1">
      <w:pPr>
        <w:pStyle w:val="Default"/>
        <w:widowControl w:val="0"/>
        <w:spacing w:line="260" w:lineRule="exact"/>
        <w:rPr>
          <w:rStyle w:val="Nadrukcursief"/>
          <w:rFonts w:ascii="Verdana" w:hAnsi="Verdana"/>
          <w:iCs w:val="0"/>
          <w:sz w:val="18"/>
          <w:szCs w:val="18"/>
        </w:rPr>
      </w:pPr>
      <w:r w:rsidRPr="00AD55C1">
        <w:rPr>
          <w:rFonts w:ascii="Verdana" w:hAnsi="Verdana"/>
          <w:sz w:val="18"/>
          <w:szCs w:val="18"/>
        </w:rPr>
        <w:t xml:space="preserve">Bij nader inzien is de aanpassing van artikel </w:t>
      </w:r>
      <w:r w:rsidR="00AB4842">
        <w:rPr>
          <w:rFonts w:ascii="Verdana" w:hAnsi="Verdana"/>
          <w:sz w:val="18"/>
          <w:szCs w:val="18"/>
        </w:rPr>
        <w:t>2</w:t>
      </w:r>
      <w:r w:rsidRPr="00AD55C1">
        <w:rPr>
          <w:rFonts w:ascii="Verdana" w:hAnsi="Verdana"/>
          <w:sz w:val="18"/>
          <w:szCs w:val="18"/>
        </w:rPr>
        <w:t xml:space="preserve">:36, eerste en tweede lid, </w:t>
      </w:r>
      <w:r w:rsidR="00F8537C">
        <w:rPr>
          <w:rFonts w:ascii="Verdana" w:hAnsi="Verdana"/>
          <w:sz w:val="18"/>
          <w:szCs w:val="18"/>
        </w:rPr>
        <w:t xml:space="preserve">Wft </w:t>
      </w:r>
      <w:r w:rsidRPr="00AD55C1">
        <w:rPr>
          <w:rFonts w:ascii="Verdana" w:hAnsi="Verdana"/>
          <w:sz w:val="18"/>
          <w:szCs w:val="18"/>
        </w:rPr>
        <w:t>overbodig. Dit artikel handelt over het geval dat een levensverzekeraar of schadeverzekeraar in de lidstaat van zijn zetel niet vergunningplichtig is. Het is dan niet relevant of dat een Sovency II vergunning of een andere vergunning is. Daarom volstaat de huidige tekst en kan onderdeel AB vervallen.</w:t>
      </w:r>
    </w:p>
    <w:p w:rsidR="0052549E" w:rsidRPr="00AD55C1" w:rsidRDefault="0052549E" w:rsidP="00AD55C1">
      <w:pPr>
        <w:pStyle w:val="Default"/>
        <w:widowControl w:val="0"/>
        <w:spacing w:line="260" w:lineRule="exact"/>
        <w:rPr>
          <w:rFonts w:ascii="Verdana" w:hAnsi="Verdana"/>
          <w:sz w:val="18"/>
          <w:szCs w:val="18"/>
        </w:rPr>
      </w:pPr>
    </w:p>
    <w:p w:rsidR="00A26DE8" w:rsidRPr="00AD55C1" w:rsidRDefault="00A26DE8"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15 (artikel I, onderdeel AD, van de Implementatiewet richtlijn solvabiliteit II)</w:t>
      </w:r>
    </w:p>
    <w:p w:rsidR="00AB4842" w:rsidRDefault="00AB4842" w:rsidP="00AD55C1">
      <w:pPr>
        <w:pStyle w:val="Default"/>
        <w:widowControl w:val="0"/>
        <w:spacing w:line="260" w:lineRule="exact"/>
        <w:rPr>
          <w:rFonts w:ascii="Verdana" w:hAnsi="Verdana" w:cs="Arial"/>
          <w:sz w:val="18"/>
          <w:szCs w:val="18"/>
        </w:rPr>
      </w:pPr>
      <w:r>
        <w:rPr>
          <w:rFonts w:ascii="Verdana" w:hAnsi="Verdana" w:cs="Arial"/>
          <w:sz w:val="18"/>
          <w:szCs w:val="18"/>
        </w:rPr>
        <w:t>Als gevolg van de aangepaste systematiek kan de aanpassing van artikel 2:40, eerste lid, achterwege blijven.</w:t>
      </w:r>
    </w:p>
    <w:p w:rsidR="00B46CB6" w:rsidRDefault="00672BDC" w:rsidP="00AD55C1">
      <w:pPr>
        <w:pStyle w:val="Default"/>
        <w:widowControl w:val="0"/>
        <w:spacing w:line="260" w:lineRule="exact"/>
        <w:rPr>
          <w:rFonts w:ascii="Verdana" w:hAnsi="Verdana" w:cs="Arial"/>
          <w:sz w:val="18"/>
          <w:szCs w:val="18"/>
        </w:rPr>
      </w:pPr>
      <w:r w:rsidRPr="00AD55C1">
        <w:rPr>
          <w:rFonts w:ascii="Verdana" w:hAnsi="Verdana" w:cs="Arial"/>
          <w:sz w:val="18"/>
          <w:szCs w:val="18"/>
        </w:rPr>
        <w:t xml:space="preserve">Aan </w:t>
      </w:r>
      <w:r w:rsidR="00F231F4" w:rsidRPr="00AD55C1">
        <w:rPr>
          <w:rFonts w:ascii="Verdana" w:hAnsi="Verdana" w:cs="Arial"/>
          <w:sz w:val="18"/>
          <w:szCs w:val="18"/>
        </w:rPr>
        <w:t>artikel 2:40</w:t>
      </w:r>
      <w:r w:rsidRPr="00AD55C1">
        <w:rPr>
          <w:rFonts w:ascii="Verdana" w:hAnsi="Verdana" w:cs="Arial"/>
          <w:sz w:val="18"/>
          <w:szCs w:val="18"/>
        </w:rPr>
        <w:t xml:space="preserve"> </w:t>
      </w:r>
      <w:r w:rsidR="00F8537C">
        <w:rPr>
          <w:rFonts w:ascii="Verdana" w:hAnsi="Verdana" w:cs="Arial"/>
          <w:sz w:val="18"/>
          <w:szCs w:val="18"/>
        </w:rPr>
        <w:t xml:space="preserve">Wft </w:t>
      </w:r>
      <w:r w:rsidRPr="00AD55C1">
        <w:rPr>
          <w:rFonts w:ascii="Verdana" w:hAnsi="Verdana" w:cs="Arial"/>
          <w:sz w:val="18"/>
          <w:szCs w:val="18"/>
        </w:rPr>
        <w:t>worden twee leden toegevoegd. Voorgesteld wordt dat o</w:t>
      </w:r>
      <w:r w:rsidR="00F231F4" w:rsidRPr="00AD55C1">
        <w:rPr>
          <w:rFonts w:ascii="Verdana" w:hAnsi="Verdana" w:cs="Arial"/>
          <w:sz w:val="18"/>
          <w:szCs w:val="18"/>
        </w:rPr>
        <w:t xml:space="preserve">ok een verzekeraar met zetel in een staat die geen lidstaat is, kan opteren voor een van de twee typen vergunning mits hij voldoet aan de daarvoor geldende eisen. Daarom is, analoog aan artikel 2:27 van de Wft, voorzien in de mogelijkheid om op een later moment alsnog te kunnen kiezen voor een andere vergunning indien de situatie van de betrokken verzekeraar daar aanleiding toe zou geven. Weliswaar geeft de vergunning verleend op grond van artikel 2:40, eerste lid, van de Wft geen recht op een Europees paspoort, </w:t>
      </w:r>
      <w:r w:rsidR="00F231F4" w:rsidRPr="00AD55C1">
        <w:rPr>
          <w:rFonts w:ascii="Verdana" w:hAnsi="Verdana" w:cs="Arial"/>
          <w:sz w:val="18"/>
          <w:szCs w:val="18"/>
        </w:rPr>
        <w:lastRenderedPageBreak/>
        <w:t>maar verwacht mag worden dat een verzekeraar met zetel in een staat die geen lidstaat is eerder in een andere lidstaat zal worden toegelaten indien hij een vergunning als bedoeld in artikel 162 van de richtlijn solvabiliteit II heeft. Ook is denkbaar dat de activiteiten van een verzekeraar in de loop der tijd verminderen en hij daarom in aanmerking kan komen voor een vergunning voor een verzekeraar met beperkte risico-omvang. De aanvulling van artikel 2:40 voorziet daarin.</w:t>
      </w:r>
    </w:p>
    <w:p w:rsidR="00936927" w:rsidRPr="00AD55C1" w:rsidRDefault="00936927" w:rsidP="00AD55C1">
      <w:pPr>
        <w:pStyle w:val="Default"/>
        <w:widowControl w:val="0"/>
        <w:spacing w:line="260" w:lineRule="exact"/>
        <w:rPr>
          <w:rStyle w:val="Nadrukcursief"/>
          <w:rFonts w:ascii="Verdana" w:hAnsi="Verdana" w:cs="Arial"/>
          <w:i w:val="0"/>
          <w:iCs w:val="0"/>
          <w:sz w:val="18"/>
          <w:szCs w:val="18"/>
        </w:rPr>
      </w:pPr>
      <w:r>
        <w:rPr>
          <w:rFonts w:ascii="Verdana" w:hAnsi="Verdana" w:cs="Arial"/>
          <w:sz w:val="18"/>
          <w:szCs w:val="18"/>
        </w:rPr>
        <w:t xml:space="preserve">Het vierde lid stelt met zoveel woorden dat een verzekeraar die niet onder de richtlijn solvabiliteit II valt, </w:t>
      </w:r>
      <w:r w:rsidR="00AB4842">
        <w:rPr>
          <w:rFonts w:ascii="Verdana" w:hAnsi="Verdana" w:cs="Arial"/>
          <w:sz w:val="18"/>
          <w:szCs w:val="18"/>
        </w:rPr>
        <w:t xml:space="preserve">niettemin </w:t>
      </w:r>
      <w:r>
        <w:rPr>
          <w:rFonts w:ascii="Verdana" w:hAnsi="Verdana" w:cs="Arial"/>
          <w:sz w:val="18"/>
          <w:szCs w:val="18"/>
        </w:rPr>
        <w:t xml:space="preserve">een vergunning </w:t>
      </w:r>
      <w:r w:rsidR="00AB4842">
        <w:rPr>
          <w:rFonts w:ascii="Verdana" w:hAnsi="Verdana" w:cs="Arial"/>
          <w:sz w:val="18"/>
          <w:szCs w:val="18"/>
        </w:rPr>
        <w:t xml:space="preserve">als bedoeld in de richtlijn solvabiliteit II </w:t>
      </w:r>
      <w:r>
        <w:rPr>
          <w:rFonts w:ascii="Verdana" w:hAnsi="Verdana" w:cs="Arial"/>
          <w:sz w:val="18"/>
          <w:szCs w:val="18"/>
        </w:rPr>
        <w:t>kan aanvragen. Dit is conform artikel 4, vijfde lid, van d</w:t>
      </w:r>
      <w:r w:rsidR="00AB4842">
        <w:rPr>
          <w:rFonts w:ascii="Verdana" w:hAnsi="Verdana" w:cs="Arial"/>
          <w:sz w:val="18"/>
          <w:szCs w:val="18"/>
        </w:rPr>
        <w:t>i</w:t>
      </w:r>
      <w:r>
        <w:rPr>
          <w:rFonts w:ascii="Verdana" w:hAnsi="Verdana" w:cs="Arial"/>
          <w:sz w:val="18"/>
          <w:szCs w:val="18"/>
        </w:rPr>
        <w:t>e richtlijn.</w:t>
      </w:r>
    </w:p>
    <w:p w:rsidR="00A662A9" w:rsidRPr="00AD55C1" w:rsidRDefault="00A662A9" w:rsidP="00AD55C1">
      <w:pPr>
        <w:pStyle w:val="Tekstopmerking"/>
        <w:spacing w:line="260" w:lineRule="exact"/>
        <w:rPr>
          <w:rFonts w:ascii="Verdana" w:hAnsi="Verdana" w:cs="Verdana"/>
          <w:bCs/>
          <w:i/>
          <w:sz w:val="18"/>
          <w:szCs w:val="18"/>
        </w:rPr>
      </w:pPr>
    </w:p>
    <w:p w:rsidR="00A26DE8" w:rsidRPr="00AD55C1" w:rsidRDefault="00A26DE8"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16 (artikel I, onderdelen ADa tot en met AD</w:t>
      </w:r>
      <w:r w:rsidR="001509F3" w:rsidRPr="00AD55C1">
        <w:rPr>
          <w:rStyle w:val="Nadrukcursief"/>
          <w:rFonts w:ascii="Verdana" w:hAnsi="Verdana"/>
          <w:iCs w:val="0"/>
          <w:sz w:val="18"/>
          <w:szCs w:val="18"/>
        </w:rPr>
        <w:t>c</w:t>
      </w:r>
      <w:r w:rsidRPr="00AD55C1">
        <w:rPr>
          <w:rStyle w:val="Nadrukcursief"/>
          <w:rFonts w:ascii="Verdana" w:hAnsi="Verdana"/>
          <w:iCs w:val="0"/>
          <w:sz w:val="18"/>
          <w:szCs w:val="18"/>
        </w:rPr>
        <w:t>, van de Implementatiewet richtlijn solvabiliteit II)</w:t>
      </w:r>
    </w:p>
    <w:p w:rsidR="00C2321E" w:rsidRPr="00AD55C1" w:rsidRDefault="001509F3"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Voor een toelichting op de onderdelen Ada en Adb wordt verwezen naar paragraaf 5 van de algemene toelichting. </w:t>
      </w:r>
      <w:r w:rsidR="00F8537C">
        <w:rPr>
          <w:rFonts w:ascii="Verdana" w:hAnsi="Verdana" w:cs="Verdana"/>
          <w:bCs/>
          <w:sz w:val="18"/>
          <w:szCs w:val="18"/>
        </w:rPr>
        <w:t>O</w:t>
      </w:r>
      <w:r w:rsidR="00C2321E" w:rsidRPr="00AD55C1">
        <w:rPr>
          <w:rFonts w:ascii="Verdana" w:hAnsi="Verdana" w:cs="Verdana"/>
          <w:bCs/>
          <w:sz w:val="18"/>
          <w:szCs w:val="18"/>
        </w:rPr>
        <w:t xml:space="preserve">pgemerkt </w:t>
      </w:r>
      <w:r w:rsidR="00F8537C">
        <w:rPr>
          <w:rFonts w:ascii="Verdana" w:hAnsi="Verdana" w:cs="Verdana"/>
          <w:bCs/>
          <w:sz w:val="18"/>
          <w:szCs w:val="18"/>
        </w:rPr>
        <w:t xml:space="preserve">wordt nog </w:t>
      </w:r>
      <w:r w:rsidR="00C2321E" w:rsidRPr="00AD55C1">
        <w:rPr>
          <w:rFonts w:ascii="Verdana" w:hAnsi="Verdana" w:cs="Verdana"/>
          <w:bCs/>
          <w:sz w:val="18"/>
          <w:szCs w:val="18"/>
        </w:rPr>
        <w:t xml:space="preserve">dat de in </w:t>
      </w:r>
      <w:r w:rsidRPr="00AD55C1">
        <w:rPr>
          <w:rFonts w:ascii="Verdana" w:hAnsi="Verdana" w:cs="Verdana"/>
          <w:bCs/>
          <w:sz w:val="18"/>
          <w:szCs w:val="18"/>
        </w:rPr>
        <w:t xml:space="preserve">artikel 2:48, </w:t>
      </w:r>
      <w:r w:rsidR="00C2321E" w:rsidRPr="00AD55C1">
        <w:rPr>
          <w:rFonts w:ascii="Verdana" w:hAnsi="Verdana" w:cs="Verdana"/>
          <w:bCs/>
          <w:sz w:val="18"/>
          <w:szCs w:val="18"/>
        </w:rPr>
        <w:t>derde lid</w:t>
      </w:r>
      <w:r w:rsidRPr="00AD55C1">
        <w:rPr>
          <w:rFonts w:ascii="Verdana" w:hAnsi="Verdana" w:cs="Verdana"/>
          <w:bCs/>
          <w:sz w:val="18"/>
          <w:szCs w:val="18"/>
        </w:rPr>
        <w:t>,</w:t>
      </w:r>
      <w:r w:rsidR="00C2321E" w:rsidRPr="00AD55C1">
        <w:rPr>
          <w:rFonts w:ascii="Verdana" w:hAnsi="Verdana" w:cs="Verdana"/>
          <w:bCs/>
          <w:sz w:val="18"/>
          <w:szCs w:val="18"/>
        </w:rPr>
        <w:t xml:space="preserve"> </w:t>
      </w:r>
      <w:r w:rsidR="00F8537C">
        <w:rPr>
          <w:rFonts w:ascii="Verdana" w:hAnsi="Verdana" w:cs="Verdana"/>
          <w:bCs/>
          <w:sz w:val="18"/>
          <w:szCs w:val="18"/>
        </w:rPr>
        <w:t xml:space="preserve">Wft </w:t>
      </w:r>
      <w:r w:rsidR="00C2321E" w:rsidRPr="00AD55C1">
        <w:rPr>
          <w:rFonts w:ascii="Verdana" w:hAnsi="Verdana" w:cs="Verdana"/>
          <w:bCs/>
          <w:sz w:val="18"/>
          <w:szCs w:val="18"/>
        </w:rPr>
        <w:t xml:space="preserve">bedoelde vergunning betrekking heeft op </w:t>
      </w:r>
      <w:r w:rsidR="00F8537C">
        <w:rPr>
          <w:rFonts w:ascii="Verdana" w:hAnsi="Verdana" w:cs="Verdana"/>
          <w:bCs/>
          <w:sz w:val="18"/>
          <w:szCs w:val="18"/>
        </w:rPr>
        <w:t xml:space="preserve">zowel </w:t>
      </w:r>
      <w:r w:rsidR="00C2321E" w:rsidRPr="00AD55C1">
        <w:rPr>
          <w:rFonts w:ascii="Verdana" w:hAnsi="Verdana" w:cs="Verdana"/>
          <w:bCs/>
          <w:sz w:val="18"/>
          <w:szCs w:val="18"/>
        </w:rPr>
        <w:t>een vergunning die recht geeft op een Europees paspoort als op een nationale vergunning.</w:t>
      </w:r>
    </w:p>
    <w:p w:rsidR="001509F3" w:rsidRPr="00AD55C1" w:rsidRDefault="001509F3"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Nu afdeling 2.2.4. niet meer uitsluitend betrekking zal hebben op het uitoefenen van het bedrijf van natura-uitvaartverzekeraar, is het nodig </w:t>
      </w:r>
      <w:r w:rsidR="00F8537C">
        <w:rPr>
          <w:rFonts w:ascii="Verdana" w:hAnsi="Verdana" w:cs="Verdana"/>
          <w:bCs/>
          <w:sz w:val="18"/>
          <w:szCs w:val="18"/>
        </w:rPr>
        <w:t xml:space="preserve">om in artikel 2:49a Wft </w:t>
      </w:r>
      <w:r w:rsidRPr="00AD55C1">
        <w:rPr>
          <w:rFonts w:ascii="Verdana" w:hAnsi="Verdana" w:cs="Verdana"/>
          <w:bCs/>
          <w:sz w:val="18"/>
          <w:szCs w:val="18"/>
        </w:rPr>
        <w:t>enkele bepalingen van afdeling 2.2.3. van overeenkomstige toepassing te verklaren.</w:t>
      </w:r>
    </w:p>
    <w:p w:rsidR="00C2321E" w:rsidRPr="00AD55C1" w:rsidRDefault="00C2321E" w:rsidP="00AD55C1">
      <w:pPr>
        <w:pStyle w:val="Tekstopmerking"/>
        <w:spacing w:line="260" w:lineRule="exact"/>
        <w:rPr>
          <w:rFonts w:ascii="Verdana" w:hAnsi="Verdana" w:cs="Verdana"/>
          <w:bCs/>
          <w:i/>
          <w:sz w:val="18"/>
          <w:szCs w:val="18"/>
        </w:rPr>
      </w:pPr>
    </w:p>
    <w:p w:rsidR="001509F3" w:rsidRPr="00AD55C1" w:rsidRDefault="001509F3"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17 (artikel I, onderde</w:t>
      </w:r>
      <w:r w:rsidR="00A32C60" w:rsidRPr="00AD55C1">
        <w:rPr>
          <w:rStyle w:val="Nadrukcursief"/>
          <w:rFonts w:ascii="Verdana" w:hAnsi="Verdana"/>
          <w:iCs w:val="0"/>
          <w:sz w:val="18"/>
          <w:szCs w:val="18"/>
        </w:rPr>
        <w:t>e</w:t>
      </w:r>
      <w:r w:rsidRPr="00AD55C1">
        <w:rPr>
          <w:rStyle w:val="Nadrukcursief"/>
          <w:rFonts w:ascii="Verdana" w:hAnsi="Verdana"/>
          <w:iCs w:val="0"/>
          <w:sz w:val="18"/>
          <w:szCs w:val="18"/>
        </w:rPr>
        <w:t>l AE, van de Implementatiewet richtlijn solvabiliteit II)</w:t>
      </w:r>
    </w:p>
    <w:p w:rsidR="001509F3" w:rsidRPr="00AD55C1" w:rsidRDefault="001509F3"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De aanpassing ziet op de vernummering van artikel 2:49a </w:t>
      </w:r>
      <w:r w:rsidR="00A32C60" w:rsidRPr="00AD55C1">
        <w:rPr>
          <w:rFonts w:ascii="Verdana" w:hAnsi="Verdana" w:cs="Verdana"/>
          <w:bCs/>
          <w:sz w:val="18"/>
          <w:szCs w:val="18"/>
        </w:rPr>
        <w:t>van de Wft.</w:t>
      </w:r>
    </w:p>
    <w:p w:rsidR="001509F3" w:rsidRPr="00AD55C1" w:rsidRDefault="001509F3" w:rsidP="00AD55C1">
      <w:pPr>
        <w:pStyle w:val="Tekstopmerking"/>
        <w:spacing w:line="260" w:lineRule="exact"/>
        <w:rPr>
          <w:rFonts w:ascii="Verdana" w:hAnsi="Verdana" w:cs="Verdana"/>
          <w:bCs/>
          <w:sz w:val="18"/>
          <w:szCs w:val="18"/>
        </w:rPr>
      </w:pPr>
    </w:p>
    <w:p w:rsidR="001509F3" w:rsidRPr="00AD55C1" w:rsidRDefault="001509F3"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w:t>
      </w:r>
      <w:r w:rsidR="00A32C60" w:rsidRPr="00AD55C1">
        <w:rPr>
          <w:rStyle w:val="Nadrukcursief"/>
          <w:rFonts w:ascii="Verdana" w:hAnsi="Verdana"/>
          <w:iCs w:val="0"/>
          <w:sz w:val="18"/>
          <w:szCs w:val="18"/>
        </w:rPr>
        <w:t>8</w:t>
      </w:r>
      <w:r w:rsidRPr="00AD55C1">
        <w:rPr>
          <w:rStyle w:val="Nadrukcursief"/>
          <w:rFonts w:ascii="Verdana" w:hAnsi="Verdana"/>
          <w:iCs w:val="0"/>
          <w:sz w:val="18"/>
          <w:szCs w:val="18"/>
        </w:rPr>
        <w:t xml:space="preserve"> (artikel I, onderdelen A</w:t>
      </w:r>
      <w:r w:rsidR="00A32C60" w:rsidRPr="00AD55C1">
        <w:rPr>
          <w:rStyle w:val="Nadrukcursief"/>
          <w:rFonts w:ascii="Verdana" w:hAnsi="Verdana"/>
          <w:iCs w:val="0"/>
          <w:sz w:val="18"/>
          <w:szCs w:val="18"/>
        </w:rPr>
        <w:t>Ea tot en met AEh</w:t>
      </w:r>
      <w:r w:rsidRPr="00AD55C1">
        <w:rPr>
          <w:rStyle w:val="Nadrukcursief"/>
          <w:rFonts w:ascii="Verdana" w:hAnsi="Verdana"/>
          <w:iCs w:val="0"/>
          <w:sz w:val="18"/>
          <w:szCs w:val="18"/>
        </w:rPr>
        <w:t>, van de Implementatiewet richtlijn solvabiliteit II)</w:t>
      </w:r>
    </w:p>
    <w:p w:rsidR="00A32C60" w:rsidRPr="00AD55C1" w:rsidRDefault="00A32C60" w:rsidP="00AD55C1">
      <w:pPr>
        <w:pStyle w:val="Default"/>
        <w:widowControl w:val="0"/>
        <w:spacing w:line="260" w:lineRule="exact"/>
        <w:rPr>
          <w:rFonts w:ascii="Verdana" w:hAnsi="Verdana" w:cs="Verdana"/>
          <w:bCs/>
          <w:sz w:val="18"/>
          <w:szCs w:val="18"/>
        </w:rPr>
      </w:pPr>
      <w:r w:rsidRPr="00AD55C1">
        <w:rPr>
          <w:rFonts w:ascii="Verdana" w:hAnsi="Verdana" w:cs="Verdana"/>
          <w:bCs/>
          <w:sz w:val="18"/>
          <w:szCs w:val="18"/>
        </w:rPr>
        <w:t>Voor een toelichting wordt verwezen naar paragraaf 5 van de algemene toelichting.</w:t>
      </w:r>
    </w:p>
    <w:p w:rsidR="00A32C60" w:rsidRPr="00AD55C1" w:rsidRDefault="00A32C60"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Ook onderdeel AEd vloeit voort uit het feit dat afdeling 2.2.4. niet meer uitsluitend betrekking zal hebben op het uitoefenen van het bedrijf van natura-uitvaartverzekeraar. Daarom zijn via artikel 2:51a van de Wft enkele bepalingen van afdeling 2.2.3. van overeenkomstige toepassing verklaard.</w:t>
      </w:r>
    </w:p>
    <w:p w:rsidR="00A662A9" w:rsidRPr="00AD55C1" w:rsidRDefault="00A662A9" w:rsidP="00AD55C1">
      <w:pPr>
        <w:pStyle w:val="Tekstopmerking"/>
        <w:spacing w:line="260" w:lineRule="exact"/>
        <w:rPr>
          <w:rFonts w:ascii="Verdana" w:hAnsi="Verdana" w:cs="Verdana"/>
          <w:bCs/>
          <w:i/>
          <w:sz w:val="18"/>
          <w:szCs w:val="18"/>
        </w:rPr>
      </w:pPr>
      <w:r w:rsidRPr="00AD55C1">
        <w:rPr>
          <w:rFonts w:ascii="Verdana" w:hAnsi="Verdana" w:cs="Verdana"/>
          <w:bCs/>
          <w:sz w:val="18"/>
          <w:szCs w:val="18"/>
        </w:rPr>
        <w:t xml:space="preserve">Voor Nederlandse </w:t>
      </w:r>
      <w:r w:rsidR="00056BF8" w:rsidRPr="00AD55C1">
        <w:rPr>
          <w:rFonts w:ascii="Verdana" w:hAnsi="Verdana" w:cs="Verdana"/>
          <w:bCs/>
          <w:sz w:val="18"/>
          <w:szCs w:val="18"/>
        </w:rPr>
        <w:t>natura-uitvaartverzekeraars en schade</w:t>
      </w:r>
      <w:r w:rsidRPr="00AD55C1">
        <w:rPr>
          <w:rFonts w:ascii="Verdana" w:hAnsi="Verdana" w:cs="Verdana"/>
          <w:bCs/>
          <w:sz w:val="18"/>
          <w:szCs w:val="18"/>
        </w:rPr>
        <w:t>verzekeraars geldt onder voorwaarden dat zij gebruik kunnen maken van een vrijstelling</w:t>
      </w:r>
      <w:r w:rsidR="00AB4842">
        <w:rPr>
          <w:rFonts w:ascii="Verdana" w:hAnsi="Verdana" w:cs="Verdana"/>
          <w:bCs/>
          <w:sz w:val="18"/>
          <w:szCs w:val="18"/>
        </w:rPr>
        <w:t>, met dien verstande dat</w:t>
      </w:r>
      <w:r w:rsidR="005C3E9A">
        <w:rPr>
          <w:rFonts w:ascii="Verdana" w:hAnsi="Verdana" w:cs="Verdana"/>
          <w:bCs/>
          <w:sz w:val="18"/>
          <w:szCs w:val="18"/>
        </w:rPr>
        <w:t xml:space="preserve"> </w:t>
      </w:r>
      <w:r w:rsidR="00AB4842">
        <w:rPr>
          <w:rFonts w:ascii="Verdana" w:hAnsi="Verdana" w:cs="Verdana"/>
          <w:bCs/>
          <w:sz w:val="18"/>
          <w:szCs w:val="18"/>
        </w:rPr>
        <w:t>d</w:t>
      </w:r>
      <w:r w:rsidR="00056BF8" w:rsidRPr="00AD55C1">
        <w:rPr>
          <w:rFonts w:ascii="Verdana" w:hAnsi="Verdana" w:cs="Verdana"/>
          <w:bCs/>
          <w:sz w:val="18"/>
          <w:szCs w:val="18"/>
        </w:rPr>
        <w:t xml:space="preserve">ergelijke </w:t>
      </w:r>
      <w:r w:rsidRPr="00AD55C1">
        <w:rPr>
          <w:rFonts w:ascii="Verdana" w:hAnsi="Verdana" w:cs="Verdana"/>
          <w:bCs/>
          <w:sz w:val="18"/>
          <w:szCs w:val="18"/>
        </w:rPr>
        <w:t xml:space="preserve">verzekeraars met zetel in een andere lidstaat niet ongunstiger </w:t>
      </w:r>
      <w:r w:rsidR="00AB4842" w:rsidRPr="00AD55C1">
        <w:rPr>
          <w:rFonts w:ascii="Verdana" w:hAnsi="Verdana" w:cs="Verdana"/>
          <w:bCs/>
          <w:sz w:val="18"/>
          <w:szCs w:val="18"/>
        </w:rPr>
        <w:t xml:space="preserve">mogen </w:t>
      </w:r>
      <w:r w:rsidRPr="00AD55C1">
        <w:rPr>
          <w:rFonts w:ascii="Verdana" w:hAnsi="Verdana" w:cs="Verdana"/>
          <w:bCs/>
          <w:sz w:val="18"/>
          <w:szCs w:val="18"/>
        </w:rPr>
        <w:t xml:space="preserve">worden behandeld dan Nederlandse verzekeraars. Daarom is in </w:t>
      </w:r>
      <w:r w:rsidR="00056BF8" w:rsidRPr="00AD55C1">
        <w:rPr>
          <w:rFonts w:ascii="Verdana" w:hAnsi="Verdana" w:cs="Verdana"/>
          <w:bCs/>
          <w:sz w:val="18"/>
          <w:szCs w:val="18"/>
        </w:rPr>
        <w:t>onderdeel AEh (</w:t>
      </w:r>
      <w:r w:rsidRPr="00AD55C1">
        <w:rPr>
          <w:rFonts w:ascii="Verdana" w:hAnsi="Verdana" w:cs="Verdana"/>
          <w:bCs/>
          <w:sz w:val="18"/>
          <w:szCs w:val="18"/>
        </w:rPr>
        <w:t>artikel 2:54</w:t>
      </w:r>
      <w:r w:rsidR="00AB4842">
        <w:rPr>
          <w:rFonts w:ascii="Verdana" w:hAnsi="Verdana" w:cs="Verdana"/>
          <w:bCs/>
          <w:sz w:val="18"/>
          <w:szCs w:val="18"/>
        </w:rPr>
        <w:t>.0</w:t>
      </w:r>
      <w:r w:rsidRPr="00AD55C1">
        <w:rPr>
          <w:rFonts w:ascii="Verdana" w:hAnsi="Verdana" w:cs="Verdana"/>
          <w:bCs/>
          <w:sz w:val="18"/>
          <w:szCs w:val="18"/>
        </w:rPr>
        <w:t>a</w:t>
      </w:r>
      <w:r w:rsidR="00056BF8" w:rsidRPr="00AD55C1">
        <w:rPr>
          <w:rFonts w:ascii="Verdana" w:hAnsi="Verdana" w:cs="Verdana"/>
          <w:bCs/>
          <w:sz w:val="18"/>
          <w:szCs w:val="18"/>
        </w:rPr>
        <w:t>)</w:t>
      </w:r>
      <w:r w:rsidRPr="00AD55C1">
        <w:rPr>
          <w:rFonts w:ascii="Verdana" w:hAnsi="Verdana" w:cs="Verdana"/>
          <w:bCs/>
          <w:sz w:val="18"/>
          <w:szCs w:val="18"/>
        </w:rPr>
        <w:t xml:space="preserve"> voorzien in de mogelijkheid van een vrijstelling voor deze verzekeraars.</w:t>
      </w:r>
    </w:p>
    <w:p w:rsidR="00A26DE8" w:rsidRPr="00AD55C1" w:rsidRDefault="00A26DE8" w:rsidP="00AD55C1">
      <w:pPr>
        <w:pStyle w:val="Tekstopmerking"/>
        <w:spacing w:line="260" w:lineRule="exact"/>
        <w:rPr>
          <w:rFonts w:ascii="Verdana" w:hAnsi="Verdana" w:cs="Verdana"/>
          <w:bCs/>
          <w:i/>
          <w:sz w:val="18"/>
          <w:szCs w:val="18"/>
        </w:rPr>
      </w:pPr>
    </w:p>
    <w:p w:rsidR="00056BF8" w:rsidRPr="00AD55C1" w:rsidRDefault="00056BF8"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19 (artikel I, onderdeel AF, van de Implementatiewet richtlijn solvabiliteit II)</w:t>
      </w:r>
    </w:p>
    <w:p w:rsidR="00A26DE8" w:rsidRPr="00AD55C1" w:rsidRDefault="00A26DE8" w:rsidP="00AD55C1">
      <w:pPr>
        <w:pStyle w:val="Default"/>
        <w:widowControl w:val="0"/>
        <w:spacing w:line="260" w:lineRule="exact"/>
        <w:rPr>
          <w:rFonts w:ascii="Verdana" w:hAnsi="Verdana" w:cs="Verdana"/>
          <w:sz w:val="18"/>
          <w:szCs w:val="18"/>
        </w:rPr>
      </w:pPr>
      <w:r w:rsidRPr="00AD55C1">
        <w:rPr>
          <w:rFonts w:ascii="Verdana" w:hAnsi="Verdana"/>
          <w:sz w:val="18"/>
          <w:szCs w:val="18"/>
        </w:rPr>
        <w:t>Voor de rechtstreekse werking van de verordening is omzetting in nationale wetgeving van de daarin opgenomen voorschriften van veelal technische aard, niet meer vereist en ook niet meer toegestaan. Daarom vervallen i</w:t>
      </w:r>
      <w:r w:rsidRPr="00AD55C1">
        <w:rPr>
          <w:rFonts w:ascii="Verdana" w:hAnsi="Verdana" w:cs="Verdana"/>
          <w:sz w:val="18"/>
          <w:szCs w:val="18"/>
        </w:rPr>
        <w:t>n artikel 2:54b, eerste lid, de onderdelen g en h. Een entiteit voor risico-acceptatie zal moeten voldoen aan de eisen met betrekking tot het minimum eigen vermogen en de solvabiliteitsvereisten zoals die in de verordening zullen worden geregeld. Voorts wordt in de aanhef er mee rekening gehouden dat als gevolg van de verordening wellicht nog meer eisen moeten vervallen</w:t>
      </w:r>
      <w:r w:rsidR="00056BF8" w:rsidRPr="00AD55C1">
        <w:rPr>
          <w:rFonts w:ascii="Verdana" w:hAnsi="Verdana" w:cs="Verdana"/>
          <w:sz w:val="18"/>
          <w:szCs w:val="18"/>
        </w:rPr>
        <w:t>.</w:t>
      </w:r>
    </w:p>
    <w:p w:rsidR="00F231F4" w:rsidRPr="00AD55C1" w:rsidRDefault="00F231F4" w:rsidP="00AD55C1">
      <w:pPr>
        <w:pStyle w:val="Tekstopmerking"/>
        <w:spacing w:line="260" w:lineRule="exact"/>
        <w:rPr>
          <w:rFonts w:ascii="Verdana" w:hAnsi="Verdana" w:cs="Verdana"/>
          <w:bCs/>
          <w:sz w:val="18"/>
          <w:szCs w:val="18"/>
        </w:rPr>
      </w:pPr>
    </w:p>
    <w:p w:rsidR="00B46CB6" w:rsidRPr="00AD55C1" w:rsidRDefault="00B46CB6"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t xml:space="preserve">A, onder </w:t>
      </w:r>
      <w:r w:rsidR="00056BF8" w:rsidRPr="00AD55C1">
        <w:rPr>
          <w:rFonts w:ascii="Verdana" w:hAnsi="Verdana" w:cs="Arial"/>
          <w:bCs/>
          <w:i/>
          <w:sz w:val="18"/>
          <w:szCs w:val="18"/>
        </w:rPr>
        <w:t>20</w:t>
      </w:r>
      <w:r w:rsidR="00635370" w:rsidRPr="00AD55C1">
        <w:rPr>
          <w:rFonts w:ascii="Verdana" w:hAnsi="Verdana" w:cs="Arial"/>
          <w:bCs/>
          <w:i/>
          <w:sz w:val="18"/>
          <w:szCs w:val="18"/>
        </w:rPr>
        <w:t xml:space="preserve"> tot en met 23</w:t>
      </w:r>
      <w:r w:rsidRPr="00AD55C1">
        <w:rPr>
          <w:rFonts w:ascii="Verdana" w:hAnsi="Verdana" w:cs="Arial"/>
          <w:bCs/>
          <w:i/>
          <w:sz w:val="18"/>
          <w:szCs w:val="18"/>
        </w:rPr>
        <w:t xml:space="preserve"> (artikel I, </w:t>
      </w:r>
      <w:r w:rsidRPr="00AD55C1">
        <w:rPr>
          <w:rStyle w:val="Nadrukcursief"/>
          <w:rFonts w:ascii="Verdana" w:hAnsi="Verdana"/>
          <w:iCs w:val="0"/>
          <w:sz w:val="18"/>
          <w:szCs w:val="18"/>
        </w:rPr>
        <w:t>onderdel</w:t>
      </w:r>
      <w:r w:rsidR="00CC4398" w:rsidRPr="00AD55C1">
        <w:rPr>
          <w:rStyle w:val="Nadrukcursief"/>
          <w:rFonts w:ascii="Verdana" w:hAnsi="Verdana"/>
          <w:iCs w:val="0"/>
          <w:sz w:val="18"/>
          <w:szCs w:val="18"/>
        </w:rPr>
        <w:t>en</w:t>
      </w:r>
      <w:r w:rsidRPr="00AD55C1">
        <w:rPr>
          <w:rStyle w:val="Nadrukcursief"/>
          <w:rFonts w:ascii="Verdana" w:hAnsi="Verdana"/>
          <w:iCs w:val="0"/>
          <w:sz w:val="18"/>
          <w:szCs w:val="18"/>
        </w:rPr>
        <w:t xml:space="preserve"> A</w:t>
      </w:r>
      <w:r w:rsidR="00F231F4" w:rsidRPr="00AD55C1">
        <w:rPr>
          <w:rStyle w:val="Nadrukcursief"/>
          <w:rFonts w:ascii="Verdana" w:hAnsi="Verdana"/>
          <w:iCs w:val="0"/>
          <w:sz w:val="18"/>
          <w:szCs w:val="18"/>
        </w:rPr>
        <w:t>G</w:t>
      </w:r>
      <w:r w:rsidRPr="00AD55C1">
        <w:rPr>
          <w:rStyle w:val="Nadrukcursief"/>
          <w:rFonts w:ascii="Verdana" w:hAnsi="Verdana"/>
          <w:iCs w:val="0"/>
          <w:sz w:val="18"/>
          <w:szCs w:val="18"/>
        </w:rPr>
        <w:t xml:space="preserve">, </w:t>
      </w:r>
      <w:r w:rsidR="00CC4398" w:rsidRPr="00AD55C1">
        <w:rPr>
          <w:rStyle w:val="Nadrukcursief"/>
          <w:rFonts w:ascii="Verdana" w:hAnsi="Verdana"/>
          <w:iCs w:val="0"/>
          <w:sz w:val="18"/>
          <w:szCs w:val="18"/>
        </w:rPr>
        <w:t xml:space="preserve">AI, AJ en AL </w:t>
      </w:r>
      <w:r w:rsidRPr="00AD55C1">
        <w:rPr>
          <w:rStyle w:val="Nadrukcursief"/>
          <w:rFonts w:ascii="Verdana" w:hAnsi="Verdana"/>
          <w:iCs w:val="0"/>
          <w:sz w:val="18"/>
          <w:szCs w:val="18"/>
        </w:rPr>
        <w:t xml:space="preserve">van </w:t>
      </w:r>
      <w:r w:rsidRPr="00AD55C1">
        <w:rPr>
          <w:rFonts w:ascii="Verdana" w:hAnsi="Verdana" w:cs="Arial"/>
          <w:bCs/>
          <w:i/>
          <w:sz w:val="18"/>
          <w:szCs w:val="18"/>
        </w:rPr>
        <w:t>de Implementatiewet richtlijn solvabiliteit II)</w:t>
      </w:r>
    </w:p>
    <w:p w:rsidR="001239C9" w:rsidRPr="00AD55C1" w:rsidRDefault="00635370" w:rsidP="00AD55C1">
      <w:pPr>
        <w:pStyle w:val="Tekstopmerking"/>
        <w:spacing w:line="260" w:lineRule="exact"/>
        <w:rPr>
          <w:rFonts w:ascii="Verdana" w:hAnsi="Verdana"/>
          <w:sz w:val="18"/>
          <w:szCs w:val="18"/>
        </w:rPr>
      </w:pPr>
      <w:r w:rsidRPr="00AD55C1">
        <w:rPr>
          <w:rFonts w:ascii="Verdana" w:hAnsi="Verdana" w:cs="Verdana"/>
          <w:bCs/>
          <w:sz w:val="18"/>
          <w:szCs w:val="18"/>
        </w:rPr>
        <w:t xml:space="preserve">De </w:t>
      </w:r>
      <w:r w:rsidR="001239C9" w:rsidRPr="00AD55C1">
        <w:rPr>
          <w:rFonts w:ascii="Verdana" w:hAnsi="Verdana" w:cs="Verdana"/>
          <w:bCs/>
          <w:sz w:val="18"/>
          <w:szCs w:val="18"/>
        </w:rPr>
        <w:t>huidige onderdel</w:t>
      </w:r>
      <w:r w:rsidRPr="00AD55C1">
        <w:rPr>
          <w:rFonts w:ascii="Verdana" w:hAnsi="Verdana" w:cs="Verdana"/>
          <w:bCs/>
          <w:sz w:val="18"/>
          <w:szCs w:val="18"/>
        </w:rPr>
        <w:t>en</w:t>
      </w:r>
      <w:r w:rsidR="001239C9" w:rsidRPr="00AD55C1">
        <w:rPr>
          <w:rFonts w:ascii="Verdana" w:hAnsi="Verdana" w:cs="Verdana"/>
          <w:bCs/>
          <w:sz w:val="18"/>
          <w:szCs w:val="18"/>
        </w:rPr>
        <w:t xml:space="preserve"> AG</w:t>
      </w:r>
      <w:r w:rsidRPr="00AD55C1">
        <w:rPr>
          <w:rFonts w:ascii="Verdana" w:hAnsi="Verdana" w:cs="Verdana"/>
          <w:bCs/>
          <w:sz w:val="18"/>
          <w:szCs w:val="18"/>
        </w:rPr>
        <w:t>, AI, AJ en AL</w:t>
      </w:r>
      <w:r w:rsidR="001239C9" w:rsidRPr="00AD55C1">
        <w:rPr>
          <w:rFonts w:ascii="Verdana" w:hAnsi="Verdana" w:cs="Verdana"/>
          <w:bCs/>
          <w:sz w:val="18"/>
          <w:szCs w:val="18"/>
        </w:rPr>
        <w:t xml:space="preserve"> </w:t>
      </w:r>
      <w:r w:rsidRPr="00AD55C1">
        <w:rPr>
          <w:rFonts w:ascii="Verdana" w:hAnsi="Verdana" w:cs="Verdana"/>
          <w:bCs/>
          <w:sz w:val="18"/>
          <w:szCs w:val="18"/>
        </w:rPr>
        <w:t xml:space="preserve">zijn </w:t>
      </w:r>
      <w:r w:rsidR="001239C9" w:rsidRPr="00AD55C1">
        <w:rPr>
          <w:rFonts w:ascii="Verdana" w:hAnsi="Verdana" w:cs="Verdana"/>
          <w:bCs/>
          <w:sz w:val="18"/>
          <w:szCs w:val="18"/>
        </w:rPr>
        <w:t xml:space="preserve">overbodig geworden door </w:t>
      </w:r>
      <w:r w:rsidR="001239C9" w:rsidRPr="00AD55C1">
        <w:rPr>
          <w:rFonts w:ascii="Verdana" w:hAnsi="Verdana"/>
          <w:sz w:val="18"/>
          <w:szCs w:val="18"/>
        </w:rPr>
        <w:t>de gekozen systematiek, waarbij de vergunningverlening voor verzekeraars met beperkte risico-omvang met zetel in Nederland wordt geregeld in artikel 2:48</w:t>
      </w:r>
      <w:r w:rsidR="001822E9">
        <w:rPr>
          <w:rFonts w:ascii="Verdana" w:hAnsi="Verdana"/>
          <w:sz w:val="18"/>
          <w:szCs w:val="18"/>
        </w:rPr>
        <w:t xml:space="preserve"> Wft</w:t>
      </w:r>
      <w:r w:rsidR="001239C9" w:rsidRPr="00AD55C1">
        <w:rPr>
          <w:rFonts w:ascii="Verdana" w:hAnsi="Verdana"/>
          <w:sz w:val="18"/>
          <w:szCs w:val="18"/>
        </w:rPr>
        <w:t xml:space="preserve">. In plaats daarvan wordt in </w:t>
      </w:r>
      <w:r w:rsidR="003167F3" w:rsidRPr="00AD55C1">
        <w:rPr>
          <w:rFonts w:ascii="Verdana" w:hAnsi="Verdana"/>
          <w:sz w:val="18"/>
          <w:szCs w:val="18"/>
        </w:rPr>
        <w:t xml:space="preserve">de </w:t>
      </w:r>
      <w:r w:rsidRPr="00AD55C1">
        <w:rPr>
          <w:rFonts w:ascii="Verdana" w:hAnsi="Verdana"/>
          <w:sz w:val="18"/>
          <w:szCs w:val="18"/>
        </w:rPr>
        <w:t xml:space="preserve">onderdelen AG, AI, AJ en AL </w:t>
      </w:r>
      <w:r w:rsidR="00734DD8" w:rsidRPr="00AD55C1">
        <w:rPr>
          <w:rFonts w:ascii="Verdana" w:hAnsi="Verdana"/>
          <w:sz w:val="18"/>
          <w:szCs w:val="18"/>
        </w:rPr>
        <w:t xml:space="preserve">aangegeven </w:t>
      </w:r>
      <w:r w:rsidR="00B619D1" w:rsidRPr="00AD55C1">
        <w:rPr>
          <w:rFonts w:ascii="Verdana" w:hAnsi="Verdana"/>
          <w:sz w:val="18"/>
          <w:szCs w:val="18"/>
        </w:rPr>
        <w:t xml:space="preserve">om welke soort verzekeraars het gaat (verzekeraars </w:t>
      </w:r>
      <w:r w:rsidR="00AB4842">
        <w:rPr>
          <w:rFonts w:ascii="Verdana" w:hAnsi="Verdana"/>
          <w:sz w:val="18"/>
          <w:szCs w:val="18"/>
        </w:rPr>
        <w:t>niet zijnde een verzekeraar met beperkte risico-omvang</w:t>
      </w:r>
      <w:r w:rsidR="00B619D1" w:rsidRPr="00AD55C1">
        <w:rPr>
          <w:rFonts w:ascii="Verdana" w:hAnsi="Verdana"/>
          <w:sz w:val="18"/>
          <w:szCs w:val="18"/>
        </w:rPr>
        <w:t>)</w:t>
      </w:r>
      <w:r w:rsidR="001239C9" w:rsidRPr="00AD55C1">
        <w:rPr>
          <w:rFonts w:ascii="Verdana" w:hAnsi="Verdana"/>
          <w:sz w:val="18"/>
          <w:szCs w:val="18"/>
        </w:rPr>
        <w:t>.</w:t>
      </w:r>
    </w:p>
    <w:p w:rsidR="00A662A9" w:rsidRPr="00AD55C1" w:rsidRDefault="00A662A9" w:rsidP="00AD55C1">
      <w:pPr>
        <w:pStyle w:val="Tekstopmerking"/>
        <w:spacing w:line="260" w:lineRule="exact"/>
        <w:rPr>
          <w:rFonts w:ascii="Verdana" w:hAnsi="Verdana" w:cs="Verdana"/>
          <w:bCs/>
          <w:sz w:val="18"/>
          <w:szCs w:val="18"/>
        </w:rPr>
      </w:pPr>
    </w:p>
    <w:p w:rsidR="00635370" w:rsidRPr="00AD55C1" w:rsidRDefault="00635370"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24 (artikel I, onderdelen ALa en ALb, van de Implementatiewet richtlijn solvabiliteit II)</w:t>
      </w:r>
    </w:p>
    <w:p w:rsidR="00635370" w:rsidRPr="00AD55C1" w:rsidRDefault="00635370"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Voor een toelichting op de onderdelen ALa en ALb wordt verwezen naar paragraaf 5 van de algemene toelichting.</w:t>
      </w:r>
    </w:p>
    <w:p w:rsidR="00635370" w:rsidRPr="00AD55C1" w:rsidRDefault="00635370" w:rsidP="00AD55C1">
      <w:pPr>
        <w:pStyle w:val="Default"/>
        <w:widowControl w:val="0"/>
        <w:spacing w:line="260" w:lineRule="exact"/>
        <w:rPr>
          <w:rFonts w:ascii="Verdana" w:hAnsi="Verdana" w:cs="Arial"/>
          <w:bCs/>
          <w:i/>
          <w:sz w:val="18"/>
          <w:szCs w:val="18"/>
        </w:rPr>
      </w:pPr>
    </w:p>
    <w:p w:rsidR="00635370" w:rsidRPr="00AD55C1" w:rsidRDefault="00635370"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t xml:space="preserve">A, onder 25 en 26 (artikel I, </w:t>
      </w:r>
      <w:r w:rsidRPr="00AD55C1">
        <w:rPr>
          <w:rStyle w:val="Nadrukcursief"/>
          <w:rFonts w:ascii="Verdana" w:hAnsi="Verdana"/>
          <w:iCs w:val="0"/>
          <w:sz w:val="18"/>
          <w:szCs w:val="18"/>
        </w:rPr>
        <w:t xml:space="preserve">onderdelen AP en AQ van </w:t>
      </w:r>
      <w:r w:rsidRPr="00AD55C1">
        <w:rPr>
          <w:rFonts w:ascii="Verdana" w:hAnsi="Verdana" w:cs="Arial"/>
          <w:bCs/>
          <w:i/>
          <w:sz w:val="18"/>
          <w:szCs w:val="18"/>
        </w:rPr>
        <w:t>de Implementatiewet richtlijn solvabiliteit II)</w:t>
      </w:r>
    </w:p>
    <w:p w:rsidR="00635370" w:rsidRPr="00AD55C1" w:rsidRDefault="00635370" w:rsidP="00AD55C1">
      <w:pPr>
        <w:pStyle w:val="Tekstopmerking"/>
        <w:spacing w:line="260" w:lineRule="exact"/>
        <w:rPr>
          <w:rFonts w:ascii="Verdana" w:hAnsi="Verdana"/>
          <w:sz w:val="18"/>
          <w:szCs w:val="18"/>
        </w:rPr>
      </w:pPr>
      <w:r w:rsidRPr="00AD55C1">
        <w:rPr>
          <w:rFonts w:ascii="Verdana" w:hAnsi="Verdana" w:cs="Verdana"/>
          <w:bCs/>
          <w:sz w:val="18"/>
          <w:szCs w:val="18"/>
        </w:rPr>
        <w:t>In de</w:t>
      </w:r>
      <w:r w:rsidR="00AB4842">
        <w:rPr>
          <w:rFonts w:ascii="Verdana" w:hAnsi="Verdana" w:cs="Verdana"/>
          <w:bCs/>
          <w:sz w:val="18"/>
          <w:szCs w:val="18"/>
        </w:rPr>
        <w:t>ze</w:t>
      </w:r>
      <w:r w:rsidRPr="00AD55C1">
        <w:rPr>
          <w:rFonts w:ascii="Verdana" w:hAnsi="Verdana" w:cs="Verdana"/>
          <w:bCs/>
          <w:sz w:val="18"/>
          <w:szCs w:val="18"/>
        </w:rPr>
        <w:t xml:space="preserve"> onderdelen is een redactionele verbetering aangebracht en wordt </w:t>
      </w:r>
      <w:r w:rsidR="00734DD8" w:rsidRPr="00AD55C1">
        <w:rPr>
          <w:rFonts w:ascii="Verdana" w:hAnsi="Verdana"/>
          <w:sz w:val="18"/>
          <w:szCs w:val="18"/>
        </w:rPr>
        <w:t xml:space="preserve">aangegeven </w:t>
      </w:r>
      <w:r w:rsidRPr="00AD55C1">
        <w:rPr>
          <w:rFonts w:ascii="Verdana" w:hAnsi="Verdana"/>
          <w:sz w:val="18"/>
          <w:szCs w:val="18"/>
        </w:rPr>
        <w:t>om welke soort verzekeraars het gaat (verzekeraars</w:t>
      </w:r>
      <w:r w:rsidR="00AB4842">
        <w:rPr>
          <w:rFonts w:ascii="Verdana" w:hAnsi="Verdana"/>
          <w:sz w:val="18"/>
          <w:szCs w:val="18"/>
        </w:rPr>
        <w:t>,</w:t>
      </w:r>
      <w:r w:rsidRPr="00AD55C1">
        <w:rPr>
          <w:rFonts w:ascii="Verdana" w:hAnsi="Verdana"/>
          <w:sz w:val="18"/>
          <w:szCs w:val="18"/>
        </w:rPr>
        <w:t xml:space="preserve"> </w:t>
      </w:r>
      <w:r w:rsidR="001822E9">
        <w:rPr>
          <w:rFonts w:ascii="Verdana" w:hAnsi="Verdana"/>
          <w:sz w:val="18"/>
          <w:szCs w:val="18"/>
        </w:rPr>
        <w:t xml:space="preserve">al dan niet </w:t>
      </w:r>
      <w:r w:rsidR="00AB4842">
        <w:rPr>
          <w:rFonts w:ascii="Verdana" w:hAnsi="Verdana"/>
          <w:sz w:val="18"/>
          <w:szCs w:val="18"/>
        </w:rPr>
        <w:t xml:space="preserve">met </w:t>
      </w:r>
      <w:r w:rsidR="001822E9">
        <w:rPr>
          <w:rFonts w:ascii="Verdana" w:hAnsi="Verdana"/>
          <w:sz w:val="18"/>
          <w:szCs w:val="18"/>
        </w:rPr>
        <w:t>beperkte risico-omvang</w:t>
      </w:r>
      <w:r w:rsidRPr="00AD55C1">
        <w:rPr>
          <w:rFonts w:ascii="Verdana" w:hAnsi="Verdana"/>
          <w:sz w:val="18"/>
          <w:szCs w:val="18"/>
        </w:rPr>
        <w:t>).</w:t>
      </w:r>
    </w:p>
    <w:p w:rsidR="00A662A9" w:rsidRPr="00AD55C1" w:rsidRDefault="00635370"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 </w:t>
      </w:r>
    </w:p>
    <w:p w:rsidR="00635370" w:rsidRPr="00AD55C1" w:rsidRDefault="00635370"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t xml:space="preserve">A, onder 27 </w:t>
      </w:r>
      <w:r w:rsidR="00AB4842">
        <w:rPr>
          <w:rFonts w:ascii="Verdana" w:hAnsi="Verdana" w:cs="Arial"/>
          <w:bCs/>
          <w:i/>
          <w:sz w:val="18"/>
          <w:szCs w:val="18"/>
        </w:rPr>
        <w:t xml:space="preserve">en 28 </w:t>
      </w:r>
      <w:r w:rsidRPr="00AD55C1">
        <w:rPr>
          <w:rFonts w:ascii="Verdana" w:hAnsi="Verdana" w:cs="Arial"/>
          <w:bCs/>
          <w:i/>
          <w:sz w:val="18"/>
          <w:szCs w:val="18"/>
        </w:rPr>
        <w:t xml:space="preserve">(artikel I, </w:t>
      </w:r>
      <w:r w:rsidRPr="00AD55C1">
        <w:rPr>
          <w:rStyle w:val="Nadrukcursief"/>
          <w:rFonts w:ascii="Verdana" w:hAnsi="Verdana"/>
          <w:iCs w:val="0"/>
          <w:sz w:val="18"/>
          <w:szCs w:val="18"/>
        </w:rPr>
        <w:t>onderdelen AQa</w:t>
      </w:r>
      <w:r w:rsidR="00AB4842">
        <w:rPr>
          <w:rStyle w:val="Nadrukcursief"/>
          <w:rFonts w:ascii="Verdana" w:hAnsi="Verdana"/>
          <w:iCs w:val="0"/>
          <w:sz w:val="18"/>
          <w:szCs w:val="18"/>
        </w:rPr>
        <w:t>,</w:t>
      </w:r>
      <w:r w:rsidRPr="00AD55C1">
        <w:rPr>
          <w:rStyle w:val="Nadrukcursief"/>
          <w:rFonts w:ascii="Verdana" w:hAnsi="Verdana"/>
          <w:iCs w:val="0"/>
          <w:sz w:val="18"/>
          <w:szCs w:val="18"/>
        </w:rPr>
        <w:t xml:space="preserve"> AQb </w:t>
      </w:r>
      <w:r w:rsidR="00AB4842">
        <w:rPr>
          <w:rStyle w:val="Nadrukcursief"/>
          <w:rFonts w:ascii="Verdana" w:hAnsi="Verdana"/>
          <w:iCs w:val="0"/>
          <w:sz w:val="18"/>
          <w:szCs w:val="18"/>
        </w:rPr>
        <w:t xml:space="preserve">en AR </w:t>
      </w:r>
      <w:r w:rsidRPr="00AD55C1">
        <w:rPr>
          <w:rStyle w:val="Nadrukcursief"/>
          <w:rFonts w:ascii="Verdana" w:hAnsi="Verdana"/>
          <w:iCs w:val="0"/>
          <w:sz w:val="18"/>
          <w:szCs w:val="18"/>
        </w:rPr>
        <w:t xml:space="preserve">van </w:t>
      </w:r>
      <w:r w:rsidRPr="00AD55C1">
        <w:rPr>
          <w:rFonts w:ascii="Verdana" w:hAnsi="Verdana" w:cs="Arial"/>
          <w:bCs/>
          <w:i/>
          <w:sz w:val="18"/>
          <w:szCs w:val="18"/>
        </w:rPr>
        <w:t>de Implementatiewet richtlijn solvabiliteit II)</w:t>
      </w:r>
    </w:p>
    <w:p w:rsidR="00635370" w:rsidRPr="00AD55C1" w:rsidRDefault="00635370" w:rsidP="00AD55C1">
      <w:pPr>
        <w:pStyle w:val="Tekstopmerking"/>
        <w:spacing w:line="260" w:lineRule="exact"/>
        <w:rPr>
          <w:rFonts w:ascii="Verdana" w:hAnsi="Verdana"/>
          <w:sz w:val="18"/>
          <w:szCs w:val="18"/>
        </w:rPr>
      </w:pPr>
      <w:r w:rsidRPr="00AD55C1">
        <w:rPr>
          <w:rFonts w:ascii="Verdana" w:hAnsi="Verdana" w:cs="Verdana"/>
          <w:bCs/>
          <w:sz w:val="18"/>
          <w:szCs w:val="18"/>
        </w:rPr>
        <w:t>In de</w:t>
      </w:r>
      <w:r w:rsidR="00AB4842">
        <w:rPr>
          <w:rFonts w:ascii="Verdana" w:hAnsi="Verdana" w:cs="Verdana"/>
          <w:bCs/>
          <w:sz w:val="18"/>
          <w:szCs w:val="18"/>
        </w:rPr>
        <w:t>ze</w:t>
      </w:r>
      <w:r w:rsidRPr="00AD55C1">
        <w:rPr>
          <w:rFonts w:ascii="Verdana" w:hAnsi="Verdana" w:cs="Verdana"/>
          <w:bCs/>
          <w:sz w:val="18"/>
          <w:szCs w:val="18"/>
        </w:rPr>
        <w:t xml:space="preserve"> onderdelen </w:t>
      </w:r>
      <w:r w:rsidR="00734DD8" w:rsidRPr="00AD55C1">
        <w:rPr>
          <w:rFonts w:ascii="Verdana" w:hAnsi="Verdana" w:cs="Verdana"/>
          <w:bCs/>
          <w:sz w:val="18"/>
          <w:szCs w:val="18"/>
        </w:rPr>
        <w:t xml:space="preserve">wordt </w:t>
      </w:r>
      <w:r w:rsidR="00734DD8" w:rsidRPr="00AD55C1">
        <w:rPr>
          <w:rFonts w:ascii="Verdana" w:hAnsi="Verdana"/>
          <w:sz w:val="18"/>
          <w:szCs w:val="18"/>
        </w:rPr>
        <w:t xml:space="preserve">aangegeven </w:t>
      </w:r>
      <w:r w:rsidRPr="00AD55C1">
        <w:rPr>
          <w:rFonts w:ascii="Verdana" w:hAnsi="Verdana"/>
          <w:sz w:val="18"/>
          <w:szCs w:val="18"/>
        </w:rPr>
        <w:t>om welke soort verzekeraars het gaat (verzekeraars met een Solvency II vergunning).</w:t>
      </w:r>
    </w:p>
    <w:p w:rsidR="00635370" w:rsidRPr="00AD55C1" w:rsidRDefault="00635370" w:rsidP="00AD55C1">
      <w:pPr>
        <w:pStyle w:val="Tekstopmerking"/>
        <w:spacing w:line="260" w:lineRule="exact"/>
        <w:rPr>
          <w:rFonts w:ascii="Verdana" w:hAnsi="Verdana"/>
          <w:sz w:val="18"/>
          <w:szCs w:val="18"/>
        </w:rPr>
      </w:pPr>
    </w:p>
    <w:p w:rsidR="00635370" w:rsidRPr="00AD55C1" w:rsidRDefault="00635370"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t xml:space="preserve">A, onder 29 (artikel I, </w:t>
      </w:r>
      <w:r w:rsidRPr="00AD55C1">
        <w:rPr>
          <w:rStyle w:val="Nadrukcursief"/>
          <w:rFonts w:ascii="Verdana" w:hAnsi="Verdana"/>
          <w:iCs w:val="0"/>
          <w:sz w:val="18"/>
          <w:szCs w:val="18"/>
        </w:rPr>
        <w:t>onderdelen ARa tot en met AR</w:t>
      </w:r>
      <w:r w:rsidR="00C32F90" w:rsidRPr="00AD55C1">
        <w:rPr>
          <w:rStyle w:val="Nadrukcursief"/>
          <w:rFonts w:ascii="Verdana" w:hAnsi="Verdana"/>
          <w:iCs w:val="0"/>
          <w:sz w:val="18"/>
          <w:szCs w:val="18"/>
        </w:rPr>
        <w:t>j,</w:t>
      </w:r>
      <w:r w:rsidRPr="00AD55C1">
        <w:rPr>
          <w:rStyle w:val="Nadrukcursief"/>
          <w:rFonts w:ascii="Verdana" w:hAnsi="Verdana"/>
          <w:iCs w:val="0"/>
          <w:sz w:val="18"/>
          <w:szCs w:val="18"/>
        </w:rPr>
        <w:t xml:space="preserve"> van </w:t>
      </w:r>
      <w:r w:rsidRPr="00AD55C1">
        <w:rPr>
          <w:rFonts w:ascii="Verdana" w:hAnsi="Verdana" w:cs="Arial"/>
          <w:bCs/>
          <w:i/>
          <w:sz w:val="18"/>
          <w:szCs w:val="18"/>
        </w:rPr>
        <w:t>de Implementatiewet richtlijn solvabiliteit II)</w:t>
      </w:r>
    </w:p>
    <w:p w:rsidR="00635370" w:rsidRPr="00AD55C1" w:rsidRDefault="00635370" w:rsidP="00AD55C1">
      <w:pPr>
        <w:pStyle w:val="Tekstopmerking"/>
        <w:spacing w:line="260" w:lineRule="exact"/>
        <w:rPr>
          <w:rFonts w:ascii="Verdana" w:hAnsi="Verdana"/>
          <w:sz w:val="18"/>
          <w:szCs w:val="18"/>
        </w:rPr>
      </w:pPr>
      <w:r w:rsidRPr="00AD55C1">
        <w:rPr>
          <w:rFonts w:ascii="Verdana" w:hAnsi="Verdana" w:cs="Verdana"/>
          <w:bCs/>
          <w:sz w:val="18"/>
          <w:szCs w:val="18"/>
        </w:rPr>
        <w:t>In de onderdelen A</w:t>
      </w:r>
      <w:r w:rsidR="00C32F90" w:rsidRPr="00AD55C1">
        <w:rPr>
          <w:rFonts w:ascii="Verdana" w:hAnsi="Verdana" w:cs="Verdana"/>
          <w:bCs/>
          <w:sz w:val="18"/>
          <w:szCs w:val="18"/>
        </w:rPr>
        <w:t>R</w:t>
      </w:r>
      <w:r w:rsidRPr="00AD55C1">
        <w:rPr>
          <w:rFonts w:ascii="Verdana" w:hAnsi="Verdana" w:cs="Verdana"/>
          <w:bCs/>
          <w:sz w:val="18"/>
          <w:szCs w:val="18"/>
        </w:rPr>
        <w:t>a, ARb, A</w:t>
      </w:r>
      <w:r w:rsidR="00C32F90" w:rsidRPr="00AD55C1">
        <w:rPr>
          <w:rFonts w:ascii="Verdana" w:hAnsi="Verdana" w:cs="Verdana"/>
          <w:bCs/>
          <w:sz w:val="18"/>
          <w:szCs w:val="18"/>
        </w:rPr>
        <w:t>R</w:t>
      </w:r>
      <w:r w:rsidRPr="00AD55C1">
        <w:rPr>
          <w:rFonts w:ascii="Verdana" w:hAnsi="Verdana" w:cs="Verdana"/>
          <w:bCs/>
          <w:sz w:val="18"/>
          <w:szCs w:val="18"/>
        </w:rPr>
        <w:t xml:space="preserve">d, </w:t>
      </w:r>
      <w:r w:rsidR="00C32F90" w:rsidRPr="00AD55C1">
        <w:rPr>
          <w:rFonts w:ascii="Verdana" w:hAnsi="Verdana" w:cs="Verdana"/>
          <w:bCs/>
          <w:sz w:val="18"/>
          <w:szCs w:val="18"/>
        </w:rPr>
        <w:t xml:space="preserve">ARe, ARf en ARh </w:t>
      </w:r>
      <w:r w:rsidR="00734DD8" w:rsidRPr="00AD55C1">
        <w:rPr>
          <w:rFonts w:ascii="Verdana" w:hAnsi="Verdana" w:cs="Verdana"/>
          <w:bCs/>
          <w:sz w:val="18"/>
          <w:szCs w:val="18"/>
        </w:rPr>
        <w:t xml:space="preserve">wordt </w:t>
      </w:r>
      <w:r w:rsidR="00734DD8" w:rsidRPr="00AD55C1">
        <w:rPr>
          <w:rFonts w:ascii="Verdana" w:hAnsi="Verdana"/>
          <w:sz w:val="18"/>
          <w:szCs w:val="18"/>
        </w:rPr>
        <w:t xml:space="preserve">aangegeven </w:t>
      </w:r>
      <w:r w:rsidRPr="00AD55C1">
        <w:rPr>
          <w:rFonts w:ascii="Verdana" w:hAnsi="Verdana"/>
          <w:sz w:val="18"/>
          <w:szCs w:val="18"/>
        </w:rPr>
        <w:t>om welke soort verzekeraars het gaat.</w:t>
      </w:r>
    </w:p>
    <w:p w:rsidR="00A662A9" w:rsidRPr="00AD55C1" w:rsidRDefault="00C32F90"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In onderdeel ARc wordt a</w:t>
      </w:r>
      <w:r w:rsidR="00A662A9" w:rsidRPr="00AD55C1">
        <w:rPr>
          <w:rFonts w:ascii="Verdana" w:hAnsi="Verdana" w:cs="Verdana"/>
          <w:bCs/>
          <w:sz w:val="18"/>
          <w:szCs w:val="18"/>
        </w:rPr>
        <w:t>rtikel 3:40 wordt opnieuw vastgesteld om rekening te houden met de situatie waarin een verzekeraar met zetel in een andere lidstaat die een vergunning heeft die geen recht geeft op een Europees paspoort hier een bijkantoor wil openen. Onderdeel a vormt met de aanhef materieel gezien het huidige artikel 3:40 en onderdeel b is nieuw. Op grond van onderdeel b zullen meer eisen, zoals woonplaats in Nederland, worden gesteld aan de vertegenwoordiger om te bewerkstelligen dat het toezicht op het bijkantoor soepel kan verlopen. Er is immers geen verplichte samenwerking tussen de toezichthouders.</w:t>
      </w:r>
    </w:p>
    <w:p w:rsidR="00C32F90" w:rsidRPr="00AD55C1" w:rsidRDefault="00C32F90"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In de onderdelen ARg en ARi is de redactie aangepast, waardoor deze artikelen niet meer uitsluitend betrekking hebben op natura-uitvaartverzekeraars</w:t>
      </w:r>
      <w:r w:rsidR="00AB4842">
        <w:rPr>
          <w:rFonts w:ascii="Verdana" w:hAnsi="Verdana" w:cs="Verdana"/>
          <w:bCs/>
          <w:sz w:val="18"/>
          <w:szCs w:val="18"/>
        </w:rPr>
        <w:t>, maar op alle verzekeraars met beperkte risico-omvang</w:t>
      </w:r>
      <w:r w:rsidRPr="00AD55C1">
        <w:rPr>
          <w:rFonts w:ascii="Verdana" w:hAnsi="Verdana" w:cs="Verdana"/>
          <w:bCs/>
          <w:sz w:val="18"/>
          <w:szCs w:val="18"/>
        </w:rPr>
        <w:t>.</w:t>
      </w:r>
    </w:p>
    <w:p w:rsidR="00F231F4" w:rsidRPr="00AD55C1" w:rsidRDefault="00F231F4" w:rsidP="00AD55C1">
      <w:pPr>
        <w:pStyle w:val="Tekstopmerking"/>
        <w:spacing w:line="260" w:lineRule="exact"/>
        <w:rPr>
          <w:rFonts w:ascii="Verdana" w:hAnsi="Verdana" w:cs="Verdana"/>
          <w:bCs/>
          <w:i/>
          <w:sz w:val="18"/>
          <w:szCs w:val="18"/>
        </w:rPr>
      </w:pPr>
    </w:p>
    <w:p w:rsidR="00C32F90" w:rsidRPr="00AD55C1" w:rsidRDefault="00C32F90"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t>A, onder 30</w:t>
      </w:r>
      <w:r w:rsidR="00F8636F" w:rsidRPr="00AD55C1">
        <w:rPr>
          <w:rFonts w:ascii="Verdana" w:hAnsi="Verdana" w:cs="Arial"/>
          <w:bCs/>
          <w:i/>
          <w:sz w:val="18"/>
          <w:szCs w:val="18"/>
        </w:rPr>
        <w:t xml:space="preserve"> en</w:t>
      </w:r>
      <w:r w:rsidRPr="00AD55C1">
        <w:rPr>
          <w:rFonts w:ascii="Verdana" w:hAnsi="Verdana" w:cs="Arial"/>
          <w:bCs/>
          <w:i/>
          <w:sz w:val="18"/>
          <w:szCs w:val="18"/>
        </w:rPr>
        <w:t xml:space="preserve"> 31</w:t>
      </w:r>
      <w:r w:rsidR="007111CF" w:rsidRPr="00AD55C1">
        <w:rPr>
          <w:rFonts w:ascii="Verdana" w:hAnsi="Verdana" w:cs="Arial"/>
          <w:bCs/>
          <w:i/>
          <w:sz w:val="18"/>
          <w:szCs w:val="18"/>
        </w:rPr>
        <w:t xml:space="preserve"> </w:t>
      </w:r>
      <w:r w:rsidRPr="00AD55C1">
        <w:rPr>
          <w:rFonts w:ascii="Verdana" w:hAnsi="Verdana" w:cs="Arial"/>
          <w:bCs/>
          <w:i/>
          <w:sz w:val="18"/>
          <w:szCs w:val="18"/>
        </w:rPr>
        <w:t xml:space="preserve">(artikel I, </w:t>
      </w:r>
      <w:r w:rsidRPr="00AD55C1">
        <w:rPr>
          <w:rStyle w:val="Nadrukcursief"/>
          <w:rFonts w:ascii="Verdana" w:hAnsi="Verdana"/>
          <w:iCs w:val="0"/>
          <w:sz w:val="18"/>
          <w:szCs w:val="18"/>
        </w:rPr>
        <w:t>onderdelen AT</w:t>
      </w:r>
      <w:r w:rsidR="00F8636F" w:rsidRPr="00AD55C1">
        <w:rPr>
          <w:rStyle w:val="Nadrukcursief"/>
          <w:rFonts w:ascii="Verdana" w:hAnsi="Verdana"/>
          <w:iCs w:val="0"/>
          <w:sz w:val="18"/>
          <w:szCs w:val="18"/>
        </w:rPr>
        <w:t xml:space="preserve"> en</w:t>
      </w:r>
      <w:r w:rsidRPr="00AD55C1">
        <w:rPr>
          <w:rStyle w:val="Nadrukcursief"/>
          <w:rFonts w:ascii="Verdana" w:hAnsi="Verdana"/>
          <w:iCs w:val="0"/>
          <w:sz w:val="18"/>
          <w:szCs w:val="18"/>
        </w:rPr>
        <w:t xml:space="preserve"> AU, van </w:t>
      </w:r>
      <w:r w:rsidRPr="00AD55C1">
        <w:rPr>
          <w:rFonts w:ascii="Verdana" w:hAnsi="Verdana" w:cs="Arial"/>
          <w:bCs/>
          <w:i/>
          <w:sz w:val="18"/>
          <w:szCs w:val="18"/>
        </w:rPr>
        <w:t>de Implementatiewet richtlijn solvabiliteit II)</w:t>
      </w:r>
    </w:p>
    <w:p w:rsidR="00C32F90" w:rsidRPr="00AD55C1" w:rsidRDefault="00C32F90" w:rsidP="00AD55C1">
      <w:pPr>
        <w:pStyle w:val="Tekstopmerking"/>
        <w:spacing w:line="260" w:lineRule="exact"/>
        <w:rPr>
          <w:rFonts w:ascii="Verdana" w:hAnsi="Verdana"/>
          <w:sz w:val="18"/>
          <w:szCs w:val="18"/>
        </w:rPr>
      </w:pPr>
      <w:r w:rsidRPr="00AD55C1">
        <w:rPr>
          <w:rFonts w:ascii="Verdana" w:hAnsi="Verdana" w:cs="Verdana"/>
          <w:bCs/>
          <w:sz w:val="18"/>
          <w:szCs w:val="18"/>
        </w:rPr>
        <w:t>In de artikelen 3:54, eerste en tweede lid</w:t>
      </w:r>
      <w:r w:rsidR="00715CD5" w:rsidRPr="00AD55C1">
        <w:rPr>
          <w:rFonts w:ascii="Verdana" w:hAnsi="Verdana" w:cs="Verdana"/>
          <w:bCs/>
          <w:sz w:val="18"/>
          <w:szCs w:val="18"/>
        </w:rPr>
        <w:t xml:space="preserve">, </w:t>
      </w:r>
      <w:r w:rsidRPr="00AD55C1">
        <w:rPr>
          <w:rFonts w:ascii="Verdana" w:hAnsi="Verdana" w:cs="Verdana"/>
          <w:bCs/>
          <w:sz w:val="18"/>
          <w:szCs w:val="18"/>
        </w:rPr>
        <w:t xml:space="preserve">en </w:t>
      </w:r>
      <w:r w:rsidR="00715CD5" w:rsidRPr="00AD55C1">
        <w:rPr>
          <w:rFonts w:ascii="Verdana" w:hAnsi="Verdana" w:cs="Verdana"/>
          <w:bCs/>
          <w:sz w:val="18"/>
          <w:szCs w:val="18"/>
        </w:rPr>
        <w:t>3:55, eerste en tweede lid,</w:t>
      </w:r>
      <w:r w:rsidRPr="00AD55C1">
        <w:rPr>
          <w:rFonts w:ascii="Verdana" w:hAnsi="Verdana" w:cs="Verdana"/>
          <w:bCs/>
          <w:sz w:val="18"/>
          <w:szCs w:val="18"/>
        </w:rPr>
        <w:t xml:space="preserve"> </w:t>
      </w:r>
      <w:r w:rsidR="00734DD8" w:rsidRPr="00AD55C1">
        <w:rPr>
          <w:rFonts w:ascii="Verdana" w:hAnsi="Verdana" w:cs="Verdana"/>
          <w:bCs/>
          <w:sz w:val="18"/>
          <w:szCs w:val="18"/>
        </w:rPr>
        <w:t>wordt</w:t>
      </w:r>
      <w:r w:rsidR="00734DD8" w:rsidRPr="00AD55C1">
        <w:rPr>
          <w:rFonts w:ascii="Verdana" w:hAnsi="Verdana"/>
          <w:sz w:val="18"/>
          <w:szCs w:val="18"/>
        </w:rPr>
        <w:t xml:space="preserve"> aangegeven</w:t>
      </w:r>
      <w:r w:rsidR="00734DD8" w:rsidRPr="00AD55C1">
        <w:rPr>
          <w:rFonts w:ascii="Verdana" w:hAnsi="Verdana" w:cs="Verdana"/>
          <w:bCs/>
          <w:sz w:val="18"/>
          <w:szCs w:val="18"/>
        </w:rPr>
        <w:t xml:space="preserve"> </w:t>
      </w:r>
      <w:r w:rsidRPr="00AD55C1">
        <w:rPr>
          <w:rFonts w:ascii="Verdana" w:hAnsi="Verdana"/>
          <w:sz w:val="18"/>
          <w:szCs w:val="18"/>
        </w:rPr>
        <w:t>om welke soort verzekeraars het gaat.</w:t>
      </w:r>
    </w:p>
    <w:p w:rsidR="00C32F90" w:rsidRPr="00AD55C1" w:rsidRDefault="00C32F90" w:rsidP="00AD55C1">
      <w:pPr>
        <w:pStyle w:val="Tekstopmerking"/>
        <w:spacing w:line="260" w:lineRule="exact"/>
        <w:rPr>
          <w:rFonts w:ascii="Verdana" w:hAnsi="Verdana" w:cs="Verdana"/>
          <w:bCs/>
          <w:sz w:val="18"/>
          <w:szCs w:val="18"/>
        </w:rPr>
      </w:pPr>
    </w:p>
    <w:p w:rsidR="00F8636F" w:rsidRPr="00AD55C1" w:rsidRDefault="00F8636F"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t xml:space="preserve">A, onder 32 (artikel I, </w:t>
      </w:r>
      <w:r w:rsidRPr="00AD55C1">
        <w:rPr>
          <w:rStyle w:val="Nadrukcursief"/>
          <w:rFonts w:ascii="Verdana" w:hAnsi="Verdana"/>
          <w:iCs w:val="0"/>
          <w:sz w:val="18"/>
          <w:szCs w:val="18"/>
        </w:rPr>
        <w:t xml:space="preserve">onderdeel AVa, van </w:t>
      </w:r>
      <w:r w:rsidRPr="00AD55C1">
        <w:rPr>
          <w:rFonts w:ascii="Verdana" w:hAnsi="Verdana" w:cs="Arial"/>
          <w:bCs/>
          <w:i/>
          <w:sz w:val="18"/>
          <w:szCs w:val="18"/>
        </w:rPr>
        <w:t>de Implementatiewet richtlijn solvabiliteit II)</w:t>
      </w:r>
    </w:p>
    <w:p w:rsidR="00F8636F" w:rsidRPr="00AD55C1" w:rsidRDefault="00F8636F" w:rsidP="00AD55C1">
      <w:pPr>
        <w:pStyle w:val="Tekstopmerking"/>
        <w:spacing w:line="260" w:lineRule="exact"/>
        <w:rPr>
          <w:rFonts w:ascii="Verdana" w:hAnsi="Verdana"/>
          <w:sz w:val="18"/>
          <w:szCs w:val="18"/>
        </w:rPr>
      </w:pPr>
      <w:r w:rsidRPr="00AD55C1">
        <w:rPr>
          <w:rFonts w:ascii="Verdana" w:hAnsi="Verdana" w:cs="Verdana"/>
          <w:bCs/>
          <w:sz w:val="18"/>
          <w:szCs w:val="18"/>
        </w:rPr>
        <w:t xml:space="preserve">In artikel 3:56 is de reikwijdte </w:t>
      </w:r>
      <w:r w:rsidR="00F66C01" w:rsidRPr="00AD55C1">
        <w:rPr>
          <w:rFonts w:ascii="Verdana" w:hAnsi="Verdana" w:cs="Verdana"/>
          <w:bCs/>
          <w:sz w:val="18"/>
          <w:szCs w:val="18"/>
        </w:rPr>
        <w:t xml:space="preserve">uitgebreid tot </w:t>
      </w:r>
      <w:r w:rsidR="00AB4842">
        <w:rPr>
          <w:rFonts w:ascii="Verdana" w:hAnsi="Verdana" w:cs="Verdana"/>
          <w:bCs/>
          <w:sz w:val="18"/>
          <w:szCs w:val="18"/>
        </w:rPr>
        <w:t xml:space="preserve">alle </w:t>
      </w:r>
      <w:r w:rsidR="00F66C01" w:rsidRPr="00AD55C1">
        <w:rPr>
          <w:rFonts w:ascii="Verdana" w:hAnsi="Verdana" w:cs="Verdana"/>
          <w:bCs/>
          <w:sz w:val="18"/>
          <w:szCs w:val="18"/>
        </w:rPr>
        <w:t xml:space="preserve">verzekeraars met beperkte risico-omvang. </w:t>
      </w:r>
    </w:p>
    <w:p w:rsidR="00F8636F" w:rsidRPr="00AD55C1" w:rsidRDefault="00F8636F" w:rsidP="00AD55C1">
      <w:pPr>
        <w:pStyle w:val="Tekstopmerking"/>
        <w:spacing w:line="260" w:lineRule="exact"/>
        <w:rPr>
          <w:rFonts w:ascii="Verdana" w:hAnsi="Verdana" w:cs="Verdana"/>
          <w:bCs/>
          <w:sz w:val="18"/>
          <w:szCs w:val="18"/>
        </w:rPr>
      </w:pPr>
    </w:p>
    <w:p w:rsidR="00715CD5" w:rsidRPr="00AD55C1" w:rsidRDefault="00715CD5" w:rsidP="00AD55C1">
      <w:pPr>
        <w:pStyle w:val="Default"/>
        <w:widowControl w:val="0"/>
        <w:spacing w:line="260" w:lineRule="exact"/>
        <w:rPr>
          <w:rFonts w:ascii="Verdana" w:hAnsi="Verdana" w:cs="Arial"/>
          <w:bCs/>
          <w:i/>
          <w:sz w:val="18"/>
          <w:szCs w:val="18"/>
        </w:rPr>
      </w:pPr>
      <w:r w:rsidRPr="00AD55C1">
        <w:rPr>
          <w:rFonts w:ascii="Verdana" w:hAnsi="Verdana" w:cs="Arial"/>
          <w:bCs/>
          <w:i/>
          <w:sz w:val="18"/>
          <w:szCs w:val="18"/>
        </w:rPr>
        <w:lastRenderedPageBreak/>
        <w:t xml:space="preserve">A, onder 33 (artikel I, </w:t>
      </w:r>
      <w:r w:rsidRPr="00AD55C1">
        <w:rPr>
          <w:rStyle w:val="Nadrukcursief"/>
          <w:rFonts w:ascii="Verdana" w:hAnsi="Verdana"/>
          <w:iCs w:val="0"/>
          <w:sz w:val="18"/>
          <w:szCs w:val="18"/>
        </w:rPr>
        <w:t xml:space="preserve">onderdeel AX, van </w:t>
      </w:r>
      <w:r w:rsidRPr="00AD55C1">
        <w:rPr>
          <w:rFonts w:ascii="Verdana" w:hAnsi="Verdana" w:cs="Arial"/>
          <w:bCs/>
          <w:i/>
          <w:sz w:val="18"/>
          <w:szCs w:val="18"/>
        </w:rPr>
        <w:t>de Implementatiewet richtlijn solvabiliteit II)</w:t>
      </w:r>
    </w:p>
    <w:p w:rsidR="00715CD5" w:rsidRPr="00AD55C1" w:rsidRDefault="00715CD5" w:rsidP="00AD55C1">
      <w:pPr>
        <w:pStyle w:val="Tekstopmerking"/>
        <w:spacing w:line="260" w:lineRule="exact"/>
        <w:rPr>
          <w:rFonts w:ascii="Verdana" w:hAnsi="Verdana" w:cs="Verdana"/>
          <w:bCs/>
          <w:sz w:val="18"/>
          <w:szCs w:val="18"/>
        </w:rPr>
      </w:pPr>
    </w:p>
    <w:p w:rsidR="006C4886" w:rsidRPr="00AD55C1" w:rsidRDefault="00DE131D"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Artikel I, onderdeel AX, van de Implementatiewet richtlijn solvabiliteit II betreft artikel 3:57 Wft. </w:t>
      </w:r>
      <w:r w:rsidR="006C4886" w:rsidRPr="00AD55C1">
        <w:rPr>
          <w:rFonts w:ascii="Verdana" w:hAnsi="Verdana" w:cs="Verdana"/>
          <w:bCs/>
          <w:sz w:val="18"/>
          <w:szCs w:val="18"/>
        </w:rPr>
        <w:t xml:space="preserve">Als gevolg van artikel I, onderdeel NN, subonderdelen 1 en 2, van </w:t>
      </w:r>
      <w:r w:rsidR="001822E9">
        <w:rPr>
          <w:rFonts w:ascii="Verdana" w:hAnsi="Verdana" w:cs="Verdana"/>
          <w:bCs/>
          <w:sz w:val="18"/>
          <w:szCs w:val="18"/>
        </w:rPr>
        <w:t xml:space="preserve">de </w:t>
      </w:r>
      <w:r w:rsidR="006C4886" w:rsidRPr="00AD55C1">
        <w:rPr>
          <w:rFonts w:ascii="Verdana" w:hAnsi="Verdana" w:cs="Verdana"/>
          <w:bCs/>
          <w:sz w:val="18"/>
          <w:szCs w:val="18"/>
        </w:rPr>
        <w:t>Implementatiewet richtlijn en verordening kapitaalvereisten zijn de wijzigingen in onderdeel AX, subonderdelen 1 en 2, overbodig geworden.</w:t>
      </w:r>
    </w:p>
    <w:p w:rsidR="00715CD5" w:rsidRPr="00AD55C1" w:rsidRDefault="00715CD5" w:rsidP="00AD55C1">
      <w:pPr>
        <w:pStyle w:val="Tekstopmerking"/>
        <w:spacing w:line="260" w:lineRule="exact"/>
        <w:rPr>
          <w:rFonts w:ascii="Verdana" w:hAnsi="Verdana" w:cs="Verdana"/>
          <w:bCs/>
          <w:i/>
          <w:sz w:val="18"/>
          <w:szCs w:val="18"/>
        </w:rPr>
      </w:pPr>
    </w:p>
    <w:p w:rsidR="00715CD5" w:rsidRPr="00AD55C1" w:rsidRDefault="00715CD5"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34 (artikel I, onderdeel AYa, van de Implementatie</w:t>
      </w:r>
      <w:r w:rsidR="001822E9">
        <w:rPr>
          <w:rFonts w:ascii="Verdana" w:hAnsi="Verdana" w:cs="Verdana"/>
          <w:bCs/>
          <w:i/>
          <w:sz w:val="18"/>
          <w:szCs w:val="18"/>
        </w:rPr>
        <w:t>wet richtlijn solvabiliteit II)</w:t>
      </w:r>
    </w:p>
    <w:p w:rsidR="00D7782B" w:rsidRPr="00AD55C1" w:rsidRDefault="00715CD5"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In artikel 3:58 </w:t>
      </w:r>
      <w:r w:rsidR="001822E9">
        <w:rPr>
          <w:rFonts w:ascii="Verdana" w:hAnsi="Verdana" w:cs="Verdana"/>
          <w:bCs/>
          <w:sz w:val="18"/>
          <w:szCs w:val="18"/>
        </w:rPr>
        <w:t xml:space="preserve">Wft </w:t>
      </w:r>
      <w:r w:rsidR="00734DD8" w:rsidRPr="00AD55C1">
        <w:rPr>
          <w:rFonts w:ascii="Verdana" w:hAnsi="Verdana" w:cs="Verdana"/>
          <w:bCs/>
          <w:sz w:val="18"/>
          <w:szCs w:val="18"/>
        </w:rPr>
        <w:t xml:space="preserve">wordt </w:t>
      </w:r>
      <w:r w:rsidR="00734DD8" w:rsidRPr="00AD55C1">
        <w:rPr>
          <w:rFonts w:ascii="Verdana" w:hAnsi="Verdana"/>
          <w:sz w:val="18"/>
          <w:szCs w:val="18"/>
        </w:rPr>
        <w:t>aangegeven</w:t>
      </w:r>
      <w:r w:rsidR="00734DD8" w:rsidRPr="00AD55C1">
        <w:rPr>
          <w:rFonts w:ascii="Verdana" w:hAnsi="Verdana" w:cs="Verdana"/>
          <w:bCs/>
          <w:sz w:val="18"/>
          <w:szCs w:val="18"/>
        </w:rPr>
        <w:t xml:space="preserve"> </w:t>
      </w:r>
      <w:r w:rsidRPr="00AD55C1">
        <w:rPr>
          <w:rFonts w:ascii="Verdana" w:hAnsi="Verdana" w:cs="Verdana"/>
          <w:bCs/>
          <w:sz w:val="18"/>
          <w:szCs w:val="18"/>
        </w:rPr>
        <w:t>welke soort verzekeraars het betreft.</w:t>
      </w:r>
      <w:r w:rsidR="00447700" w:rsidRPr="00AD55C1">
        <w:rPr>
          <w:rFonts w:ascii="Verdana" w:hAnsi="Verdana" w:cs="Verdana"/>
          <w:bCs/>
          <w:sz w:val="18"/>
          <w:szCs w:val="18"/>
        </w:rPr>
        <w:t xml:space="preserve"> </w:t>
      </w:r>
      <w:r w:rsidR="00F66C01" w:rsidRPr="00AD55C1">
        <w:rPr>
          <w:rFonts w:ascii="Verdana" w:hAnsi="Verdana" w:cs="Verdana"/>
          <w:bCs/>
          <w:sz w:val="18"/>
          <w:szCs w:val="18"/>
        </w:rPr>
        <w:t>Voorts is het eerste lid t</w:t>
      </w:r>
      <w:r w:rsidR="00447700" w:rsidRPr="00AD55C1">
        <w:rPr>
          <w:rFonts w:ascii="Verdana" w:hAnsi="Verdana" w:cs="Verdana"/>
          <w:bCs/>
          <w:sz w:val="18"/>
          <w:szCs w:val="18"/>
        </w:rPr>
        <w:t>er wille van de leesbaarheid verdeeld in onderdelen.</w:t>
      </w:r>
    </w:p>
    <w:p w:rsidR="00715CD5" w:rsidRPr="00AD55C1" w:rsidRDefault="00715CD5" w:rsidP="00AD55C1">
      <w:pPr>
        <w:pStyle w:val="Tekstopmerking"/>
        <w:spacing w:line="260" w:lineRule="exact"/>
        <w:rPr>
          <w:rFonts w:ascii="Verdana" w:hAnsi="Verdana" w:cs="Verdana"/>
          <w:bCs/>
          <w:sz w:val="18"/>
          <w:szCs w:val="18"/>
        </w:rPr>
      </w:pPr>
    </w:p>
    <w:p w:rsidR="007111CF" w:rsidRPr="00AD55C1" w:rsidRDefault="007111CF"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3</w:t>
      </w:r>
      <w:r w:rsidR="00F66C01" w:rsidRPr="00AD55C1">
        <w:rPr>
          <w:rStyle w:val="Nadrukcursief"/>
          <w:rFonts w:ascii="Verdana" w:hAnsi="Verdana"/>
          <w:iCs w:val="0"/>
          <w:sz w:val="18"/>
          <w:szCs w:val="18"/>
        </w:rPr>
        <w:t>6</w:t>
      </w:r>
      <w:r w:rsidRPr="00AD55C1">
        <w:rPr>
          <w:rStyle w:val="Nadrukcursief"/>
          <w:rFonts w:ascii="Verdana" w:hAnsi="Verdana"/>
          <w:iCs w:val="0"/>
          <w:sz w:val="18"/>
          <w:szCs w:val="18"/>
        </w:rPr>
        <w:t xml:space="preserve"> (artikel I, onderdeel </w:t>
      </w:r>
      <w:r w:rsidR="00F66C01" w:rsidRPr="00AD55C1">
        <w:rPr>
          <w:rStyle w:val="Nadrukcursief"/>
          <w:rFonts w:ascii="Verdana" w:hAnsi="Verdana"/>
          <w:iCs w:val="0"/>
          <w:sz w:val="18"/>
          <w:szCs w:val="18"/>
        </w:rPr>
        <w:t>BA</w:t>
      </w:r>
      <w:r w:rsidRPr="00AD55C1">
        <w:rPr>
          <w:rStyle w:val="Nadrukcursief"/>
          <w:rFonts w:ascii="Verdana" w:hAnsi="Verdana"/>
          <w:iCs w:val="0"/>
          <w:sz w:val="18"/>
          <w:szCs w:val="18"/>
        </w:rPr>
        <w:t>, van de Implementatie</w:t>
      </w:r>
      <w:r w:rsidR="00F66C01" w:rsidRPr="00AD55C1">
        <w:rPr>
          <w:rStyle w:val="Nadrukcursief"/>
          <w:rFonts w:ascii="Verdana" w:hAnsi="Verdana"/>
          <w:iCs w:val="0"/>
          <w:sz w:val="18"/>
          <w:szCs w:val="18"/>
        </w:rPr>
        <w:t>wet richtlijn solvabiliteit II)</w:t>
      </w:r>
    </w:p>
    <w:p w:rsidR="00F66C01" w:rsidRPr="00AD55C1" w:rsidRDefault="00F66C01" w:rsidP="00AD55C1">
      <w:pPr>
        <w:pStyle w:val="Tekstopmerking"/>
        <w:spacing w:line="260" w:lineRule="exact"/>
        <w:rPr>
          <w:rFonts w:ascii="Verdana" w:hAnsi="Verdana"/>
          <w:sz w:val="18"/>
          <w:szCs w:val="18"/>
        </w:rPr>
      </w:pPr>
      <w:r w:rsidRPr="00AD55C1">
        <w:rPr>
          <w:rStyle w:val="Nadrukcursief"/>
          <w:rFonts w:ascii="Verdana" w:hAnsi="Verdana"/>
          <w:i w:val="0"/>
          <w:iCs w:val="0"/>
          <w:sz w:val="18"/>
          <w:szCs w:val="18"/>
        </w:rPr>
        <w:t xml:space="preserve">In artikel 3:60, </w:t>
      </w:r>
      <w:r w:rsidR="003167F3" w:rsidRPr="00AD55C1">
        <w:rPr>
          <w:rStyle w:val="Nadrukcursief"/>
          <w:rFonts w:ascii="Verdana" w:hAnsi="Verdana"/>
          <w:i w:val="0"/>
          <w:iCs w:val="0"/>
          <w:sz w:val="18"/>
          <w:szCs w:val="18"/>
        </w:rPr>
        <w:t xml:space="preserve">eerste </w:t>
      </w:r>
      <w:r w:rsidRPr="00AD55C1">
        <w:rPr>
          <w:rStyle w:val="Nadrukcursief"/>
          <w:rFonts w:ascii="Verdana" w:hAnsi="Verdana"/>
          <w:i w:val="0"/>
          <w:iCs w:val="0"/>
          <w:sz w:val="18"/>
          <w:szCs w:val="18"/>
        </w:rPr>
        <w:t xml:space="preserve">lid, </w:t>
      </w:r>
      <w:r w:rsidR="001822E9">
        <w:rPr>
          <w:rStyle w:val="Nadrukcursief"/>
          <w:rFonts w:ascii="Verdana" w:hAnsi="Verdana"/>
          <w:i w:val="0"/>
          <w:iCs w:val="0"/>
          <w:sz w:val="18"/>
          <w:szCs w:val="18"/>
        </w:rPr>
        <w:t xml:space="preserve">Wft </w:t>
      </w:r>
      <w:r w:rsidR="00734DD8" w:rsidRPr="00AD55C1">
        <w:rPr>
          <w:rStyle w:val="Nadrukcursief"/>
          <w:rFonts w:ascii="Verdana" w:hAnsi="Verdana"/>
          <w:i w:val="0"/>
          <w:iCs w:val="0"/>
          <w:sz w:val="18"/>
          <w:szCs w:val="18"/>
        </w:rPr>
        <w:t xml:space="preserve">wordt </w:t>
      </w:r>
      <w:r w:rsidR="00734DD8" w:rsidRPr="00AD55C1">
        <w:rPr>
          <w:rFonts w:ascii="Verdana" w:hAnsi="Verdana"/>
          <w:sz w:val="18"/>
          <w:szCs w:val="18"/>
        </w:rPr>
        <w:t>aangegeven</w:t>
      </w:r>
      <w:r w:rsidR="00734DD8" w:rsidRPr="00AD55C1">
        <w:rPr>
          <w:rFonts w:ascii="Verdana" w:hAnsi="Verdana" w:cs="Verdana"/>
          <w:bCs/>
          <w:sz w:val="18"/>
          <w:szCs w:val="18"/>
        </w:rPr>
        <w:t xml:space="preserve"> </w:t>
      </w:r>
      <w:r w:rsidRPr="00AD55C1">
        <w:rPr>
          <w:rFonts w:ascii="Verdana" w:hAnsi="Verdana"/>
          <w:sz w:val="18"/>
          <w:szCs w:val="18"/>
        </w:rPr>
        <w:t>om welke soort verzekeraars het gaat.</w:t>
      </w:r>
    </w:p>
    <w:p w:rsidR="007111CF" w:rsidRPr="00AD55C1" w:rsidRDefault="007111CF" w:rsidP="00AD55C1">
      <w:pPr>
        <w:pStyle w:val="Default"/>
        <w:widowControl w:val="0"/>
        <w:spacing w:line="260" w:lineRule="exact"/>
        <w:rPr>
          <w:rStyle w:val="Nadrukcursief"/>
          <w:rFonts w:ascii="Verdana" w:hAnsi="Verdana"/>
          <w:i w:val="0"/>
          <w:iCs w:val="0"/>
          <w:sz w:val="18"/>
          <w:szCs w:val="18"/>
        </w:rPr>
      </w:pPr>
    </w:p>
    <w:p w:rsidR="00F66C01" w:rsidRPr="00AD55C1" w:rsidRDefault="00F66C01"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37 </w:t>
      </w:r>
      <w:r w:rsidR="00B67AFA" w:rsidRPr="00AD55C1">
        <w:rPr>
          <w:rStyle w:val="Nadrukcursief"/>
          <w:rFonts w:ascii="Verdana" w:hAnsi="Verdana"/>
          <w:iCs w:val="0"/>
          <w:sz w:val="18"/>
          <w:szCs w:val="18"/>
        </w:rPr>
        <w:t xml:space="preserve">en 38 </w:t>
      </w:r>
      <w:r w:rsidRPr="00AD55C1">
        <w:rPr>
          <w:rStyle w:val="Nadrukcursief"/>
          <w:rFonts w:ascii="Verdana" w:hAnsi="Verdana"/>
          <w:iCs w:val="0"/>
          <w:sz w:val="18"/>
          <w:szCs w:val="18"/>
        </w:rPr>
        <w:t>(artikel I, onderdel</w:t>
      </w:r>
      <w:r w:rsidR="00B67AFA" w:rsidRPr="00AD55C1">
        <w:rPr>
          <w:rStyle w:val="Nadrukcursief"/>
          <w:rFonts w:ascii="Verdana" w:hAnsi="Verdana"/>
          <w:iCs w:val="0"/>
          <w:sz w:val="18"/>
          <w:szCs w:val="18"/>
        </w:rPr>
        <w:t>en</w:t>
      </w:r>
      <w:r w:rsidRPr="00AD55C1">
        <w:rPr>
          <w:rStyle w:val="Nadrukcursief"/>
          <w:rFonts w:ascii="Verdana" w:hAnsi="Verdana"/>
          <w:iCs w:val="0"/>
          <w:sz w:val="18"/>
          <w:szCs w:val="18"/>
        </w:rPr>
        <w:t xml:space="preserve"> BB</w:t>
      </w:r>
      <w:r w:rsidR="00B67AFA" w:rsidRPr="00AD55C1">
        <w:rPr>
          <w:rStyle w:val="Nadrukcursief"/>
          <w:rFonts w:ascii="Verdana" w:hAnsi="Verdana"/>
          <w:iCs w:val="0"/>
          <w:sz w:val="18"/>
          <w:szCs w:val="18"/>
        </w:rPr>
        <w:t xml:space="preserve"> en BC</w:t>
      </w:r>
      <w:r w:rsidRPr="00AD55C1">
        <w:rPr>
          <w:rStyle w:val="Nadrukcursief"/>
          <w:rFonts w:ascii="Verdana" w:hAnsi="Verdana"/>
          <w:iCs w:val="0"/>
          <w:sz w:val="18"/>
          <w:szCs w:val="18"/>
        </w:rPr>
        <w:t>, van de Implementatiewet richtlijn solvabiliteit II)</w:t>
      </w:r>
    </w:p>
    <w:p w:rsidR="00F66C01" w:rsidRPr="00AD55C1" w:rsidRDefault="00865EF6" w:rsidP="00AD55C1">
      <w:pPr>
        <w:pStyle w:val="Default"/>
        <w:widowControl w:val="0"/>
        <w:spacing w:line="260" w:lineRule="exact"/>
        <w:rPr>
          <w:rFonts w:ascii="Verdana" w:hAnsi="Verdana"/>
          <w:sz w:val="18"/>
          <w:szCs w:val="18"/>
        </w:rPr>
      </w:pPr>
      <w:r w:rsidRPr="00AD55C1">
        <w:rPr>
          <w:rFonts w:ascii="Verdana" w:hAnsi="Verdana"/>
          <w:sz w:val="18"/>
          <w:szCs w:val="18"/>
        </w:rPr>
        <w:t>V</w:t>
      </w:r>
      <w:r w:rsidR="00AB4842">
        <w:rPr>
          <w:rFonts w:ascii="Verdana" w:hAnsi="Verdana"/>
          <w:sz w:val="18"/>
          <w:szCs w:val="18"/>
        </w:rPr>
        <w:t xml:space="preserve">anwege </w:t>
      </w:r>
      <w:r w:rsidRPr="00AD55C1">
        <w:rPr>
          <w:rFonts w:ascii="Verdana" w:hAnsi="Verdana"/>
          <w:sz w:val="18"/>
          <w:szCs w:val="18"/>
        </w:rPr>
        <w:t xml:space="preserve">de rechtstreekse werking van de verordening is omzetting in nationale wetgeving van de daarin opgenomen voorschriften van veelal technische aard niet meer toegestaan. </w:t>
      </w:r>
      <w:r w:rsidRPr="00AD55C1">
        <w:rPr>
          <w:rFonts w:ascii="Verdana" w:hAnsi="Verdana" w:cs="Verdana"/>
          <w:sz w:val="18"/>
          <w:szCs w:val="18"/>
        </w:rPr>
        <w:t xml:space="preserve">Een entiteit voor risico-acceptatie zal moeten voldoen aan de solvabiliteitsvereisten zoals die in de verordening zullen worden geregeld. </w:t>
      </w:r>
      <w:r w:rsidR="00B67AFA" w:rsidRPr="00AD55C1">
        <w:rPr>
          <w:rFonts w:ascii="Verdana" w:hAnsi="Verdana" w:cs="Verdana"/>
          <w:sz w:val="18"/>
          <w:szCs w:val="18"/>
        </w:rPr>
        <w:t xml:space="preserve">Voorts is de reikwijdte van de </w:t>
      </w:r>
      <w:r w:rsidR="00E05798">
        <w:rPr>
          <w:rFonts w:ascii="Verdana" w:hAnsi="Verdana" w:cs="Verdana"/>
          <w:sz w:val="18"/>
          <w:szCs w:val="18"/>
        </w:rPr>
        <w:t xml:space="preserve">artikelen </w:t>
      </w:r>
      <w:r w:rsidR="00B67AFA" w:rsidRPr="00AD55C1">
        <w:rPr>
          <w:rFonts w:ascii="Verdana" w:hAnsi="Verdana" w:cs="Verdana"/>
          <w:sz w:val="18"/>
          <w:szCs w:val="18"/>
        </w:rPr>
        <w:t>uitgebreid</w:t>
      </w:r>
      <w:r w:rsidR="00E16DC7">
        <w:rPr>
          <w:rFonts w:ascii="Verdana" w:hAnsi="Verdana" w:cs="Verdana"/>
          <w:sz w:val="18"/>
          <w:szCs w:val="18"/>
        </w:rPr>
        <w:t>, waardoor deze van toepassing worden op alle</w:t>
      </w:r>
      <w:r w:rsidR="00B67AFA" w:rsidRPr="00AD55C1">
        <w:rPr>
          <w:rFonts w:ascii="Verdana" w:hAnsi="Verdana" w:cs="Verdana"/>
          <w:sz w:val="18"/>
          <w:szCs w:val="18"/>
        </w:rPr>
        <w:t xml:space="preserve"> verzekeraars met beperkte risico-omvang.</w:t>
      </w:r>
    </w:p>
    <w:p w:rsidR="007111CF" w:rsidRPr="00AD55C1" w:rsidRDefault="007111CF" w:rsidP="00AD55C1">
      <w:pPr>
        <w:pStyle w:val="Tekstopmerking"/>
        <w:spacing w:line="260" w:lineRule="exact"/>
        <w:rPr>
          <w:rFonts w:ascii="Verdana" w:hAnsi="Verdana" w:cs="Verdana"/>
          <w:bCs/>
          <w:i/>
          <w:sz w:val="18"/>
          <w:szCs w:val="18"/>
        </w:rPr>
      </w:pPr>
    </w:p>
    <w:p w:rsidR="00D7782B" w:rsidRPr="00AD55C1" w:rsidRDefault="00D7782B"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w:t>
      </w:r>
      <w:r w:rsidR="00715CD5" w:rsidRPr="00AD55C1">
        <w:rPr>
          <w:rStyle w:val="Nadrukcursief"/>
          <w:rFonts w:ascii="Verdana" w:hAnsi="Verdana"/>
          <w:iCs w:val="0"/>
          <w:sz w:val="18"/>
          <w:szCs w:val="18"/>
        </w:rPr>
        <w:t>3</w:t>
      </w:r>
      <w:r w:rsidR="00B67AFA" w:rsidRPr="00AD55C1">
        <w:rPr>
          <w:rStyle w:val="Nadrukcursief"/>
          <w:rFonts w:ascii="Verdana" w:hAnsi="Verdana"/>
          <w:iCs w:val="0"/>
          <w:sz w:val="18"/>
          <w:szCs w:val="18"/>
        </w:rPr>
        <w:t>9</w:t>
      </w:r>
      <w:r w:rsidRPr="00AD55C1">
        <w:rPr>
          <w:rStyle w:val="Nadrukcursief"/>
          <w:rFonts w:ascii="Verdana" w:hAnsi="Verdana"/>
          <w:iCs w:val="0"/>
          <w:sz w:val="18"/>
          <w:szCs w:val="18"/>
        </w:rPr>
        <w:t xml:space="preserve"> (artikel I, onderdeel B</w:t>
      </w:r>
      <w:r w:rsidR="00B67AFA" w:rsidRPr="00AD55C1">
        <w:rPr>
          <w:rStyle w:val="Nadrukcursief"/>
          <w:rFonts w:ascii="Verdana" w:hAnsi="Verdana"/>
          <w:iCs w:val="0"/>
          <w:sz w:val="18"/>
          <w:szCs w:val="18"/>
        </w:rPr>
        <w:t>E</w:t>
      </w:r>
      <w:r w:rsidRPr="00AD55C1">
        <w:rPr>
          <w:rStyle w:val="Nadrukcursief"/>
          <w:rFonts w:ascii="Verdana" w:hAnsi="Verdana"/>
          <w:iCs w:val="0"/>
          <w:sz w:val="18"/>
          <w:szCs w:val="18"/>
        </w:rPr>
        <w:t xml:space="preserve">, van de Implementatiewet richtlijn solvabiliteit II) </w:t>
      </w:r>
    </w:p>
    <w:p w:rsidR="00D7782B" w:rsidRPr="00AD55C1" w:rsidRDefault="00D7782B" w:rsidP="00AD55C1">
      <w:pPr>
        <w:pStyle w:val="Default"/>
        <w:widowControl w:val="0"/>
        <w:spacing w:line="260" w:lineRule="exact"/>
        <w:rPr>
          <w:rFonts w:ascii="Verdana" w:hAnsi="Verdana"/>
          <w:sz w:val="18"/>
          <w:szCs w:val="18"/>
        </w:rPr>
      </w:pPr>
      <w:r w:rsidRPr="00AD55C1">
        <w:rPr>
          <w:rFonts w:ascii="Verdana" w:hAnsi="Verdana"/>
          <w:sz w:val="18"/>
          <w:szCs w:val="18"/>
        </w:rPr>
        <w:t xml:space="preserve">Artikel 319 van de verordening eist dat een entiteit voor risico-acceptatie de nominale verplichtingen volledig gefinancierd </w:t>
      </w:r>
      <w:r w:rsidR="00E05798">
        <w:rPr>
          <w:rFonts w:ascii="Verdana" w:hAnsi="Verdana"/>
          <w:sz w:val="18"/>
          <w:szCs w:val="18"/>
        </w:rPr>
        <w:t>heeft</w:t>
      </w:r>
      <w:r w:rsidRPr="00AD55C1">
        <w:rPr>
          <w:rFonts w:ascii="Verdana" w:hAnsi="Verdana"/>
          <w:sz w:val="18"/>
          <w:szCs w:val="18"/>
        </w:rPr>
        <w:t>. Technische voorzieningen zijn niet toegestaan omdat daarbij wordt uitgegaan van beste schatting van de schade terwijl in dit geval de entiteit beleggingen moet hebben ter hoogte van het bedrag van de maximale schade.</w:t>
      </w:r>
    </w:p>
    <w:p w:rsidR="00D7782B" w:rsidRPr="00AD55C1" w:rsidRDefault="00D7782B" w:rsidP="00AD55C1">
      <w:pPr>
        <w:pStyle w:val="Default"/>
        <w:widowControl w:val="0"/>
        <w:spacing w:line="260" w:lineRule="exact"/>
        <w:rPr>
          <w:rFonts w:ascii="Verdana" w:hAnsi="Verdana"/>
          <w:sz w:val="18"/>
          <w:szCs w:val="18"/>
        </w:rPr>
      </w:pPr>
    </w:p>
    <w:p w:rsidR="00B67AFA" w:rsidRPr="00AD55C1" w:rsidRDefault="00B67AFA"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40 (artikel I, onderdeel BF, van de Implementatiewet richtlijn solvabiliteit II)</w:t>
      </w:r>
    </w:p>
    <w:p w:rsidR="00B67AFA" w:rsidRPr="00AD55C1" w:rsidRDefault="003167F3"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Deze wijzigingen vloeien voort uit het aangepaste systeem zoals uiteengezet in paragraaf 5 van het algemeen deel van deze toelichting. </w:t>
      </w:r>
    </w:p>
    <w:p w:rsidR="00B67AFA" w:rsidRPr="00AD55C1" w:rsidRDefault="00B67AFA" w:rsidP="00AD55C1">
      <w:pPr>
        <w:pStyle w:val="Tekstopmerking"/>
        <w:spacing w:line="260" w:lineRule="exact"/>
        <w:rPr>
          <w:rFonts w:ascii="Verdana" w:hAnsi="Verdana" w:cs="Verdana"/>
          <w:bCs/>
          <w:i/>
          <w:sz w:val="18"/>
          <w:szCs w:val="18"/>
        </w:rPr>
      </w:pPr>
    </w:p>
    <w:p w:rsidR="00D7782B" w:rsidRPr="00AD55C1" w:rsidRDefault="00D7782B"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B67AFA" w:rsidRPr="00AD55C1">
        <w:rPr>
          <w:rFonts w:ascii="Verdana" w:hAnsi="Verdana" w:cs="Verdana"/>
          <w:bCs/>
          <w:i/>
          <w:sz w:val="18"/>
          <w:szCs w:val="18"/>
        </w:rPr>
        <w:t>41</w:t>
      </w:r>
      <w:r w:rsidRPr="00AD55C1">
        <w:rPr>
          <w:rFonts w:ascii="Verdana" w:hAnsi="Verdana" w:cs="Verdana"/>
          <w:bCs/>
          <w:i/>
          <w:sz w:val="18"/>
          <w:szCs w:val="18"/>
        </w:rPr>
        <w:t xml:space="preserve"> (artikel I, onderdeel BG, van de Implementatiewet richtlijn solvabiliteit II)</w:t>
      </w:r>
    </w:p>
    <w:p w:rsidR="00D7782B" w:rsidRPr="00AD55C1" w:rsidRDefault="007E08B0" w:rsidP="00AD55C1">
      <w:pPr>
        <w:spacing w:line="260" w:lineRule="exact"/>
        <w:rPr>
          <w:rFonts w:ascii="Verdana" w:hAnsi="Verdana"/>
          <w:sz w:val="18"/>
          <w:szCs w:val="18"/>
        </w:rPr>
      </w:pPr>
      <w:r w:rsidRPr="00AD55C1">
        <w:rPr>
          <w:rFonts w:ascii="Verdana" w:hAnsi="Verdana" w:cs="Verdana"/>
          <w:bCs/>
          <w:sz w:val="18"/>
          <w:szCs w:val="18"/>
        </w:rPr>
        <w:t xml:space="preserve">Voor </w:t>
      </w:r>
      <w:r w:rsidR="003167F3" w:rsidRPr="00AD55C1">
        <w:rPr>
          <w:rFonts w:ascii="Verdana" w:hAnsi="Verdana" w:cs="Verdana"/>
          <w:bCs/>
          <w:sz w:val="18"/>
          <w:szCs w:val="18"/>
        </w:rPr>
        <w:t xml:space="preserve">entiteiten </w:t>
      </w:r>
      <w:r w:rsidRPr="00AD55C1">
        <w:rPr>
          <w:rFonts w:ascii="Verdana" w:hAnsi="Verdana" w:cs="Verdana"/>
          <w:bCs/>
          <w:sz w:val="18"/>
          <w:szCs w:val="18"/>
        </w:rPr>
        <w:t xml:space="preserve">voor risico-acceptatie kunnen ten aanzien van de technische voorzieningen geen regels meer worden gesteld. </w:t>
      </w:r>
    </w:p>
    <w:p w:rsidR="007E08B0" w:rsidRPr="00AD55C1" w:rsidRDefault="007E08B0" w:rsidP="00AD55C1">
      <w:pPr>
        <w:pStyle w:val="Tekstopmerking"/>
        <w:spacing w:line="260" w:lineRule="exact"/>
        <w:rPr>
          <w:rFonts w:ascii="Verdana" w:hAnsi="Verdana" w:cs="Verdana"/>
          <w:bCs/>
          <w:i/>
          <w:sz w:val="18"/>
          <w:szCs w:val="18"/>
        </w:rPr>
      </w:pPr>
    </w:p>
    <w:p w:rsidR="007E08B0" w:rsidRPr="00AD55C1" w:rsidRDefault="007E08B0"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42 (artikel I, onderdeel BH, van de Implementatiewet richtlijn solvabiliteit II)</w:t>
      </w:r>
    </w:p>
    <w:p w:rsidR="007E08B0" w:rsidRPr="00AD55C1" w:rsidRDefault="007E08B0" w:rsidP="00AD55C1">
      <w:pPr>
        <w:spacing w:line="260" w:lineRule="exact"/>
        <w:rPr>
          <w:rFonts w:ascii="Verdana" w:hAnsi="Verdana"/>
          <w:sz w:val="18"/>
          <w:szCs w:val="18"/>
        </w:rPr>
      </w:pPr>
      <w:r w:rsidRPr="00AD55C1">
        <w:rPr>
          <w:rFonts w:ascii="Verdana" w:hAnsi="Verdana" w:cs="Verdana"/>
          <w:bCs/>
          <w:sz w:val="18"/>
          <w:szCs w:val="18"/>
        </w:rPr>
        <w:t>Het opschrift van de paragraaf is in overeenstemming gebracht met de nieuwe reikwijdte ervan.</w:t>
      </w:r>
    </w:p>
    <w:p w:rsidR="006C4886" w:rsidRPr="00AD55C1" w:rsidRDefault="006C4886" w:rsidP="00AD55C1">
      <w:pPr>
        <w:pStyle w:val="Tekstopmerking"/>
        <w:spacing w:line="260" w:lineRule="exact"/>
        <w:rPr>
          <w:rFonts w:ascii="Verdana" w:hAnsi="Verdana" w:cs="Verdana"/>
          <w:bCs/>
          <w:i/>
          <w:sz w:val="18"/>
          <w:szCs w:val="18"/>
        </w:rPr>
      </w:pPr>
    </w:p>
    <w:p w:rsidR="000D3588" w:rsidRPr="00AD55C1" w:rsidRDefault="000D3588"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43 en 44 (artikel I, onderdelen BI en BK, van de Implementatiewet richtlijn solvabiliteit II)</w:t>
      </w:r>
    </w:p>
    <w:p w:rsidR="000D3588" w:rsidRPr="00AD55C1" w:rsidRDefault="000D3588" w:rsidP="00AD55C1">
      <w:pPr>
        <w:pStyle w:val="Tekstopmerking"/>
        <w:spacing w:line="260" w:lineRule="exact"/>
        <w:rPr>
          <w:rFonts w:ascii="Verdana" w:hAnsi="Verdana" w:cs="Verdana"/>
          <w:bCs/>
          <w:sz w:val="18"/>
          <w:szCs w:val="18"/>
        </w:rPr>
      </w:pPr>
      <w:r w:rsidRPr="00AD55C1">
        <w:rPr>
          <w:rFonts w:ascii="Verdana" w:hAnsi="Verdana" w:cs="Verdana"/>
          <w:bCs/>
          <w:sz w:val="18"/>
          <w:szCs w:val="18"/>
        </w:rPr>
        <w:lastRenderedPageBreak/>
        <w:t xml:space="preserve">De wijzigingen in de artikelen 3:69 en 3:69a vloeien voort uit de aangepaste systematiek. </w:t>
      </w:r>
    </w:p>
    <w:p w:rsidR="000D3588" w:rsidRPr="00AD55C1" w:rsidRDefault="000D3588" w:rsidP="00AD55C1">
      <w:pPr>
        <w:pStyle w:val="Tekstopmerking"/>
        <w:spacing w:line="260" w:lineRule="exact"/>
        <w:rPr>
          <w:rFonts w:ascii="Verdana" w:hAnsi="Verdana" w:cs="Verdana"/>
          <w:bCs/>
          <w:sz w:val="18"/>
          <w:szCs w:val="18"/>
        </w:rPr>
      </w:pPr>
    </w:p>
    <w:p w:rsidR="00EF58F1" w:rsidRPr="00AD55C1" w:rsidRDefault="00EF58F1"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0D3588" w:rsidRPr="00AD55C1">
        <w:rPr>
          <w:rFonts w:ascii="Verdana" w:hAnsi="Verdana" w:cs="Verdana"/>
          <w:bCs/>
          <w:i/>
          <w:sz w:val="18"/>
          <w:szCs w:val="18"/>
        </w:rPr>
        <w:t>45</w:t>
      </w:r>
      <w:r w:rsidRPr="00AD55C1">
        <w:rPr>
          <w:rFonts w:ascii="Verdana" w:hAnsi="Verdana" w:cs="Verdana"/>
          <w:bCs/>
          <w:i/>
          <w:sz w:val="18"/>
          <w:szCs w:val="18"/>
        </w:rPr>
        <w:t xml:space="preserve"> (artikel I, onderdeel BO, van de Implementatiewet richtlijn solvabiliteit II)</w:t>
      </w:r>
    </w:p>
    <w:p w:rsidR="00EF58F1" w:rsidRPr="00AD55C1" w:rsidRDefault="00EF58F1"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Er is als gevolg van de Wijzigingswet financiële markten 2014 een artikel 3:73b ingevoegd, waardoor het onderhavige artikel dient te worden vernummerd.</w:t>
      </w:r>
    </w:p>
    <w:p w:rsidR="00C2321E" w:rsidRPr="00AD55C1" w:rsidRDefault="00C2321E" w:rsidP="00AD55C1">
      <w:pPr>
        <w:pStyle w:val="Tekstopmerking"/>
        <w:spacing w:line="260" w:lineRule="exact"/>
        <w:rPr>
          <w:rFonts w:ascii="Verdana" w:hAnsi="Verdana" w:cs="Verdana"/>
          <w:bCs/>
          <w:sz w:val="18"/>
          <w:szCs w:val="18"/>
        </w:rPr>
      </w:pPr>
    </w:p>
    <w:p w:rsidR="00C2321E" w:rsidRPr="00AD55C1" w:rsidRDefault="000D3588"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46, 47</w:t>
      </w:r>
      <w:r w:rsidR="008903B9" w:rsidRPr="00AD55C1">
        <w:rPr>
          <w:rFonts w:ascii="Verdana" w:hAnsi="Verdana" w:cs="Verdana"/>
          <w:bCs/>
          <w:i/>
          <w:sz w:val="18"/>
          <w:szCs w:val="18"/>
        </w:rPr>
        <w:t>,</w:t>
      </w:r>
      <w:r w:rsidRPr="00AD55C1">
        <w:rPr>
          <w:rFonts w:ascii="Verdana" w:hAnsi="Verdana" w:cs="Verdana"/>
          <w:bCs/>
          <w:i/>
          <w:sz w:val="18"/>
          <w:szCs w:val="18"/>
        </w:rPr>
        <w:t xml:space="preserve"> 48</w:t>
      </w:r>
      <w:r w:rsidR="008903B9" w:rsidRPr="00AD55C1">
        <w:rPr>
          <w:rFonts w:ascii="Verdana" w:hAnsi="Verdana" w:cs="Verdana"/>
          <w:bCs/>
          <w:i/>
          <w:sz w:val="18"/>
          <w:szCs w:val="18"/>
        </w:rPr>
        <w:t xml:space="preserve">, 49, </w:t>
      </w:r>
      <w:r w:rsidR="00984319">
        <w:rPr>
          <w:rFonts w:ascii="Verdana" w:hAnsi="Verdana" w:cs="Verdana"/>
          <w:bCs/>
          <w:i/>
          <w:sz w:val="18"/>
          <w:szCs w:val="18"/>
        </w:rPr>
        <w:t xml:space="preserve">en </w:t>
      </w:r>
      <w:r w:rsidR="008903B9" w:rsidRPr="00AD55C1">
        <w:rPr>
          <w:rFonts w:ascii="Verdana" w:hAnsi="Verdana" w:cs="Verdana"/>
          <w:bCs/>
          <w:i/>
          <w:sz w:val="18"/>
          <w:szCs w:val="18"/>
        </w:rPr>
        <w:t xml:space="preserve">50 </w:t>
      </w:r>
      <w:r w:rsidR="00C2321E" w:rsidRPr="00AD55C1">
        <w:rPr>
          <w:rFonts w:ascii="Verdana" w:hAnsi="Verdana" w:cs="Verdana"/>
          <w:bCs/>
          <w:i/>
          <w:sz w:val="18"/>
          <w:szCs w:val="18"/>
        </w:rPr>
        <w:t>(artikel I, onderdel</w:t>
      </w:r>
      <w:r w:rsidRPr="00AD55C1">
        <w:rPr>
          <w:rFonts w:ascii="Verdana" w:hAnsi="Verdana" w:cs="Verdana"/>
          <w:bCs/>
          <w:i/>
          <w:sz w:val="18"/>
          <w:szCs w:val="18"/>
        </w:rPr>
        <w:t>en</w:t>
      </w:r>
      <w:r w:rsidR="00C2321E" w:rsidRPr="00AD55C1">
        <w:rPr>
          <w:rFonts w:ascii="Verdana" w:hAnsi="Verdana" w:cs="Verdana"/>
          <w:bCs/>
          <w:i/>
          <w:sz w:val="18"/>
          <w:szCs w:val="18"/>
        </w:rPr>
        <w:t xml:space="preserve"> </w:t>
      </w:r>
      <w:r w:rsidRPr="00AD55C1">
        <w:rPr>
          <w:rFonts w:ascii="Verdana" w:hAnsi="Verdana" w:cs="Verdana"/>
          <w:bCs/>
          <w:i/>
          <w:sz w:val="18"/>
          <w:szCs w:val="18"/>
        </w:rPr>
        <w:t>BQa, BR</w:t>
      </w:r>
      <w:r w:rsidR="008903B9" w:rsidRPr="00AD55C1">
        <w:rPr>
          <w:rFonts w:ascii="Verdana" w:hAnsi="Verdana" w:cs="Verdana"/>
          <w:bCs/>
          <w:i/>
          <w:sz w:val="18"/>
          <w:szCs w:val="18"/>
        </w:rPr>
        <w:t>,</w:t>
      </w:r>
      <w:r w:rsidRPr="00AD55C1">
        <w:rPr>
          <w:rFonts w:ascii="Verdana" w:hAnsi="Verdana" w:cs="Verdana"/>
          <w:bCs/>
          <w:i/>
          <w:sz w:val="18"/>
          <w:szCs w:val="18"/>
        </w:rPr>
        <w:t xml:space="preserve"> BS</w:t>
      </w:r>
      <w:r w:rsidR="008903B9" w:rsidRPr="00AD55C1">
        <w:rPr>
          <w:rFonts w:ascii="Verdana" w:hAnsi="Verdana" w:cs="Verdana"/>
          <w:bCs/>
          <w:i/>
          <w:sz w:val="18"/>
          <w:szCs w:val="18"/>
        </w:rPr>
        <w:t>, BSa, BT en BU</w:t>
      </w:r>
      <w:r w:rsidR="00C2321E" w:rsidRPr="00AD55C1">
        <w:rPr>
          <w:rFonts w:ascii="Verdana" w:hAnsi="Verdana" w:cs="Verdana"/>
          <w:bCs/>
          <w:i/>
          <w:sz w:val="18"/>
          <w:szCs w:val="18"/>
        </w:rPr>
        <w:t>, van de Implementatiewet richtlijn solvabiliteit II)</w:t>
      </w:r>
    </w:p>
    <w:p w:rsidR="002163CD" w:rsidRDefault="000D3588" w:rsidP="00AD55C1">
      <w:pPr>
        <w:pStyle w:val="Tekstopmerking"/>
        <w:spacing w:line="260" w:lineRule="exact"/>
        <w:rPr>
          <w:rFonts w:ascii="Verdana" w:hAnsi="Verdana" w:cs="Verdana"/>
          <w:bCs/>
          <w:i/>
          <w:sz w:val="18"/>
          <w:szCs w:val="18"/>
        </w:rPr>
      </w:pPr>
      <w:r w:rsidRPr="00AD55C1">
        <w:rPr>
          <w:rFonts w:ascii="Verdana" w:hAnsi="Verdana" w:cs="Verdana"/>
          <w:bCs/>
          <w:sz w:val="18"/>
          <w:szCs w:val="18"/>
        </w:rPr>
        <w:t>De wijziging</w:t>
      </w:r>
      <w:r w:rsidR="00E05798">
        <w:rPr>
          <w:rFonts w:ascii="Verdana" w:hAnsi="Verdana" w:cs="Verdana"/>
          <w:bCs/>
          <w:sz w:val="18"/>
          <w:szCs w:val="18"/>
        </w:rPr>
        <w:t>en</w:t>
      </w:r>
      <w:r w:rsidRPr="00AD55C1">
        <w:rPr>
          <w:rFonts w:ascii="Verdana" w:hAnsi="Verdana" w:cs="Verdana"/>
          <w:bCs/>
          <w:sz w:val="18"/>
          <w:szCs w:val="18"/>
        </w:rPr>
        <w:t xml:space="preserve"> in de artikelen vloeien voort uit de aangepaste systematiek. </w:t>
      </w:r>
    </w:p>
    <w:p w:rsidR="005C3E9A" w:rsidRDefault="005C3E9A" w:rsidP="00874C12">
      <w:pPr>
        <w:pStyle w:val="Tekstopmerking"/>
        <w:spacing w:line="260" w:lineRule="exact"/>
        <w:rPr>
          <w:rFonts w:ascii="Verdana" w:hAnsi="Verdana" w:cs="Verdana"/>
          <w:bCs/>
          <w:i/>
          <w:sz w:val="18"/>
          <w:szCs w:val="18"/>
        </w:rPr>
      </w:pPr>
    </w:p>
    <w:p w:rsidR="00874C12" w:rsidRDefault="00874C12" w:rsidP="00874C12">
      <w:pPr>
        <w:pStyle w:val="Tekstopmerking"/>
        <w:spacing w:line="260" w:lineRule="exact"/>
        <w:rPr>
          <w:rFonts w:ascii="Verdana" w:hAnsi="Verdana" w:cs="Verdana"/>
          <w:bCs/>
          <w:i/>
          <w:sz w:val="18"/>
          <w:szCs w:val="18"/>
        </w:rPr>
      </w:pPr>
      <w:r w:rsidRPr="00AD55C1">
        <w:rPr>
          <w:rFonts w:ascii="Verdana" w:hAnsi="Verdana" w:cs="Verdana"/>
          <w:bCs/>
          <w:i/>
          <w:sz w:val="18"/>
          <w:szCs w:val="18"/>
        </w:rPr>
        <w:t>A, onder 5</w:t>
      </w:r>
      <w:r>
        <w:rPr>
          <w:rFonts w:ascii="Verdana" w:hAnsi="Verdana" w:cs="Verdana"/>
          <w:bCs/>
          <w:i/>
          <w:sz w:val="18"/>
          <w:szCs w:val="18"/>
        </w:rPr>
        <w:t>1</w:t>
      </w:r>
      <w:r w:rsidRPr="00AD55C1">
        <w:rPr>
          <w:rFonts w:ascii="Verdana" w:hAnsi="Verdana" w:cs="Verdana"/>
          <w:bCs/>
          <w:i/>
          <w:sz w:val="18"/>
          <w:szCs w:val="18"/>
        </w:rPr>
        <w:t xml:space="preserve"> (artikel I, onderdeel BU, van de Implementatiewet richtlijn solvabiliteit II)</w:t>
      </w:r>
    </w:p>
    <w:p w:rsidR="00874C12" w:rsidRPr="00984319" w:rsidRDefault="00874C12" w:rsidP="00874C12">
      <w:pPr>
        <w:pStyle w:val="Tekstopmerking"/>
        <w:spacing w:line="260" w:lineRule="exact"/>
        <w:rPr>
          <w:rFonts w:ascii="Verdana" w:hAnsi="Verdana" w:cs="Verdana"/>
          <w:bCs/>
          <w:sz w:val="18"/>
          <w:szCs w:val="18"/>
        </w:rPr>
      </w:pPr>
      <w:r>
        <w:rPr>
          <w:rFonts w:ascii="Verdana" w:hAnsi="Verdana" w:cs="Verdana"/>
          <w:bCs/>
          <w:sz w:val="18"/>
          <w:szCs w:val="18"/>
        </w:rPr>
        <w:t xml:space="preserve">In artikel 3:82a wordt een verwijzing aangepast en wordt aangegeven </w:t>
      </w:r>
      <w:r w:rsidRPr="00AD55C1">
        <w:rPr>
          <w:rFonts w:ascii="Verdana" w:hAnsi="Verdana"/>
          <w:sz w:val="18"/>
          <w:szCs w:val="18"/>
        </w:rPr>
        <w:t xml:space="preserve">welke soort verzekeraars het </w:t>
      </w:r>
      <w:r>
        <w:rPr>
          <w:rFonts w:ascii="Verdana" w:hAnsi="Verdana"/>
          <w:sz w:val="18"/>
          <w:szCs w:val="18"/>
        </w:rPr>
        <w:t>betreft. Kortheidshalve is onderdeel BU opnieuw vastgesteld.</w:t>
      </w:r>
    </w:p>
    <w:p w:rsidR="00984319" w:rsidRPr="00AD55C1" w:rsidRDefault="00984319" w:rsidP="00AD55C1">
      <w:pPr>
        <w:pStyle w:val="Tekstopmerking"/>
        <w:spacing w:line="260" w:lineRule="exact"/>
        <w:rPr>
          <w:rFonts w:ascii="Verdana" w:hAnsi="Verdana" w:cs="Verdana"/>
          <w:bCs/>
          <w:i/>
          <w:sz w:val="18"/>
          <w:szCs w:val="18"/>
        </w:rPr>
      </w:pPr>
    </w:p>
    <w:p w:rsidR="002163CD" w:rsidRPr="00AD55C1" w:rsidRDefault="002163CD"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52 (artikel I, onderdeel BUa, van de Implementatiewet richtlijn solvabiliteit II)</w:t>
      </w:r>
    </w:p>
    <w:p w:rsidR="002163CD" w:rsidRPr="00AD55C1" w:rsidRDefault="002163CD"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In artikel 3:83 </w:t>
      </w:r>
      <w:r w:rsidR="00734DD8" w:rsidRPr="00AD55C1">
        <w:rPr>
          <w:rFonts w:ascii="Verdana" w:hAnsi="Verdana" w:cs="Verdana"/>
          <w:bCs/>
          <w:sz w:val="18"/>
          <w:szCs w:val="18"/>
        </w:rPr>
        <w:t>wordt</w:t>
      </w:r>
      <w:r w:rsidR="00734DD8" w:rsidRPr="00AD55C1">
        <w:rPr>
          <w:rFonts w:ascii="Verdana" w:hAnsi="Verdana"/>
          <w:sz w:val="18"/>
          <w:szCs w:val="18"/>
        </w:rPr>
        <w:t xml:space="preserve"> aangegeven</w:t>
      </w:r>
      <w:r w:rsidR="00734DD8" w:rsidRPr="00AD55C1">
        <w:rPr>
          <w:rFonts w:ascii="Verdana" w:hAnsi="Verdana" w:cs="Verdana"/>
          <w:bCs/>
          <w:sz w:val="18"/>
          <w:szCs w:val="18"/>
        </w:rPr>
        <w:t xml:space="preserve"> </w:t>
      </w:r>
      <w:r w:rsidRPr="00AD55C1">
        <w:rPr>
          <w:rFonts w:ascii="Verdana" w:hAnsi="Verdana" w:cs="Verdana"/>
          <w:bCs/>
          <w:sz w:val="18"/>
          <w:szCs w:val="18"/>
        </w:rPr>
        <w:t>welk soort verzekeraar het artikel betreft.</w:t>
      </w:r>
    </w:p>
    <w:p w:rsidR="000D3588" w:rsidRPr="00AD55C1" w:rsidRDefault="000D3588" w:rsidP="00AD55C1">
      <w:pPr>
        <w:pStyle w:val="Tekstopmerking"/>
        <w:spacing w:line="260" w:lineRule="exact"/>
        <w:rPr>
          <w:rFonts w:ascii="Verdana" w:hAnsi="Verdana" w:cs="Verdana"/>
          <w:bCs/>
          <w:sz w:val="18"/>
          <w:szCs w:val="18"/>
        </w:rPr>
      </w:pPr>
    </w:p>
    <w:p w:rsidR="000D3588" w:rsidRPr="00AD55C1" w:rsidRDefault="000D3588"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8903B9" w:rsidRPr="00AD55C1">
        <w:rPr>
          <w:rFonts w:ascii="Verdana" w:hAnsi="Verdana" w:cs="Verdana"/>
          <w:bCs/>
          <w:i/>
          <w:sz w:val="18"/>
          <w:szCs w:val="18"/>
        </w:rPr>
        <w:t>5</w:t>
      </w:r>
      <w:r w:rsidR="002163CD" w:rsidRPr="00AD55C1">
        <w:rPr>
          <w:rFonts w:ascii="Verdana" w:hAnsi="Verdana" w:cs="Verdana"/>
          <w:bCs/>
          <w:i/>
          <w:sz w:val="18"/>
          <w:szCs w:val="18"/>
        </w:rPr>
        <w:t>3</w:t>
      </w:r>
      <w:r w:rsidRPr="00AD55C1">
        <w:rPr>
          <w:rFonts w:ascii="Verdana" w:hAnsi="Verdana" w:cs="Verdana"/>
          <w:bCs/>
          <w:i/>
          <w:sz w:val="18"/>
          <w:szCs w:val="18"/>
        </w:rPr>
        <w:t xml:space="preserve"> (artikel I, onderdeel B</w:t>
      </w:r>
      <w:r w:rsidR="008903B9" w:rsidRPr="00AD55C1">
        <w:rPr>
          <w:rFonts w:ascii="Verdana" w:hAnsi="Verdana" w:cs="Verdana"/>
          <w:bCs/>
          <w:i/>
          <w:sz w:val="18"/>
          <w:szCs w:val="18"/>
        </w:rPr>
        <w:t>V</w:t>
      </w:r>
      <w:r w:rsidRPr="00AD55C1">
        <w:rPr>
          <w:rFonts w:ascii="Verdana" w:hAnsi="Verdana" w:cs="Verdana"/>
          <w:bCs/>
          <w:i/>
          <w:sz w:val="18"/>
          <w:szCs w:val="18"/>
        </w:rPr>
        <w:t>, van de Implementatiewet richtlijn solvabiliteit II)</w:t>
      </w:r>
    </w:p>
    <w:p w:rsidR="000D3588" w:rsidRPr="00AD55C1" w:rsidRDefault="008903B9"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In artikel 3:84 zijn d</w:t>
      </w:r>
      <w:r w:rsidR="000D3588" w:rsidRPr="00AD55C1">
        <w:rPr>
          <w:rFonts w:ascii="Verdana" w:hAnsi="Verdana" w:cs="Verdana"/>
          <w:bCs/>
          <w:sz w:val="18"/>
          <w:szCs w:val="18"/>
        </w:rPr>
        <w:t xml:space="preserve">e </w:t>
      </w:r>
      <w:r w:rsidRPr="00AD55C1">
        <w:rPr>
          <w:rFonts w:ascii="Verdana" w:hAnsi="Verdana" w:cs="Verdana"/>
          <w:bCs/>
          <w:sz w:val="18"/>
          <w:szCs w:val="18"/>
        </w:rPr>
        <w:t>verwijzingen aangevuld en is de reikwijdte aangepast.</w:t>
      </w:r>
      <w:r w:rsidR="000D3588" w:rsidRPr="00AD55C1">
        <w:rPr>
          <w:rFonts w:ascii="Verdana" w:hAnsi="Verdana" w:cs="Verdana"/>
          <w:bCs/>
          <w:sz w:val="18"/>
          <w:szCs w:val="18"/>
        </w:rPr>
        <w:t xml:space="preserve"> </w:t>
      </w:r>
    </w:p>
    <w:p w:rsidR="008903B9" w:rsidRPr="00AD55C1" w:rsidRDefault="008903B9" w:rsidP="00AD55C1">
      <w:pPr>
        <w:pStyle w:val="Tekstopmerking"/>
        <w:spacing w:line="260" w:lineRule="exact"/>
        <w:rPr>
          <w:rFonts w:ascii="Verdana" w:hAnsi="Verdana" w:cs="Verdana"/>
          <w:bCs/>
          <w:sz w:val="18"/>
          <w:szCs w:val="18"/>
        </w:rPr>
      </w:pPr>
    </w:p>
    <w:p w:rsidR="008903B9" w:rsidRPr="00AD55C1" w:rsidRDefault="008903B9"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5</w:t>
      </w:r>
      <w:r w:rsidR="002163CD" w:rsidRPr="00AD55C1">
        <w:rPr>
          <w:rFonts w:ascii="Verdana" w:hAnsi="Verdana" w:cs="Verdana"/>
          <w:bCs/>
          <w:i/>
          <w:sz w:val="18"/>
          <w:szCs w:val="18"/>
        </w:rPr>
        <w:t>4</w:t>
      </w:r>
      <w:r w:rsidRPr="00AD55C1">
        <w:rPr>
          <w:rFonts w:ascii="Verdana" w:hAnsi="Verdana" w:cs="Verdana"/>
          <w:bCs/>
          <w:i/>
          <w:sz w:val="18"/>
          <w:szCs w:val="18"/>
        </w:rPr>
        <w:t>, 5</w:t>
      </w:r>
      <w:r w:rsidR="002163CD" w:rsidRPr="00AD55C1">
        <w:rPr>
          <w:rFonts w:ascii="Verdana" w:hAnsi="Verdana" w:cs="Verdana"/>
          <w:bCs/>
          <w:i/>
          <w:sz w:val="18"/>
          <w:szCs w:val="18"/>
        </w:rPr>
        <w:t>5</w:t>
      </w:r>
      <w:r w:rsidRPr="00AD55C1">
        <w:rPr>
          <w:rFonts w:ascii="Verdana" w:hAnsi="Verdana" w:cs="Verdana"/>
          <w:bCs/>
          <w:i/>
          <w:sz w:val="18"/>
          <w:szCs w:val="18"/>
        </w:rPr>
        <w:t>, 5</w:t>
      </w:r>
      <w:r w:rsidR="002163CD" w:rsidRPr="00AD55C1">
        <w:rPr>
          <w:rFonts w:ascii="Verdana" w:hAnsi="Verdana" w:cs="Verdana"/>
          <w:bCs/>
          <w:i/>
          <w:sz w:val="18"/>
          <w:szCs w:val="18"/>
        </w:rPr>
        <w:t>6</w:t>
      </w:r>
      <w:r w:rsidRPr="00AD55C1">
        <w:rPr>
          <w:rFonts w:ascii="Verdana" w:hAnsi="Verdana" w:cs="Verdana"/>
          <w:bCs/>
          <w:i/>
          <w:sz w:val="18"/>
          <w:szCs w:val="18"/>
        </w:rPr>
        <w:t xml:space="preserve"> en</w:t>
      </w:r>
      <w:r w:rsidR="002163CD" w:rsidRPr="00AD55C1">
        <w:rPr>
          <w:rFonts w:ascii="Verdana" w:hAnsi="Verdana" w:cs="Verdana"/>
          <w:bCs/>
          <w:i/>
          <w:sz w:val="18"/>
          <w:szCs w:val="18"/>
        </w:rPr>
        <w:t xml:space="preserve"> 57</w:t>
      </w:r>
      <w:r w:rsidRPr="00AD55C1">
        <w:rPr>
          <w:rFonts w:ascii="Verdana" w:hAnsi="Verdana" w:cs="Verdana"/>
          <w:bCs/>
          <w:i/>
          <w:sz w:val="18"/>
          <w:szCs w:val="18"/>
        </w:rPr>
        <w:t xml:space="preserve"> (artikel I, onderdelen BVa, BW, BX en BXa, van de Implementatiewet richtlijn solvabiliteit II)</w:t>
      </w:r>
    </w:p>
    <w:p w:rsidR="008903B9" w:rsidRPr="00AD55C1" w:rsidRDefault="008903B9"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De wijziging</w:t>
      </w:r>
      <w:r w:rsidR="00E05798">
        <w:rPr>
          <w:rFonts w:ascii="Verdana" w:hAnsi="Verdana" w:cs="Verdana"/>
          <w:bCs/>
          <w:sz w:val="18"/>
          <w:szCs w:val="18"/>
        </w:rPr>
        <w:t>en</w:t>
      </w:r>
      <w:r w:rsidRPr="00AD55C1">
        <w:rPr>
          <w:rFonts w:ascii="Verdana" w:hAnsi="Verdana" w:cs="Verdana"/>
          <w:bCs/>
          <w:sz w:val="18"/>
          <w:szCs w:val="18"/>
        </w:rPr>
        <w:t xml:space="preserve"> in de artikelen vloeien voort uit de aangepaste systematiek. </w:t>
      </w:r>
    </w:p>
    <w:p w:rsidR="000D3588" w:rsidRPr="00AD55C1" w:rsidRDefault="000D3588" w:rsidP="00AD55C1">
      <w:pPr>
        <w:pStyle w:val="Tekstopmerking"/>
        <w:spacing w:line="260" w:lineRule="exact"/>
        <w:rPr>
          <w:rFonts w:ascii="Verdana" w:hAnsi="Verdana" w:cs="Verdana"/>
          <w:bCs/>
          <w:sz w:val="18"/>
          <w:szCs w:val="18"/>
        </w:rPr>
      </w:pPr>
    </w:p>
    <w:p w:rsidR="008903B9" w:rsidRPr="00AD55C1" w:rsidRDefault="008903B9"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A, onder 5</w:t>
      </w:r>
      <w:r w:rsidR="002163CD" w:rsidRPr="00AD55C1">
        <w:rPr>
          <w:rFonts w:ascii="Verdana" w:hAnsi="Verdana" w:cs="Verdana"/>
          <w:bCs/>
          <w:i/>
          <w:sz w:val="18"/>
          <w:szCs w:val="18"/>
        </w:rPr>
        <w:t>8</w:t>
      </w:r>
      <w:r w:rsidRPr="00AD55C1">
        <w:rPr>
          <w:rFonts w:ascii="Verdana" w:hAnsi="Verdana" w:cs="Verdana"/>
          <w:bCs/>
          <w:i/>
          <w:sz w:val="18"/>
          <w:szCs w:val="18"/>
        </w:rPr>
        <w:t xml:space="preserve"> (artikel I, onderdelen BYa, </w:t>
      </w:r>
      <w:r w:rsidR="00E05798">
        <w:rPr>
          <w:rFonts w:ascii="Verdana" w:hAnsi="Verdana" w:cs="Verdana"/>
          <w:bCs/>
          <w:i/>
          <w:sz w:val="18"/>
          <w:szCs w:val="18"/>
        </w:rPr>
        <w:t xml:space="preserve">tot en met </w:t>
      </w:r>
      <w:r w:rsidRPr="00AD55C1">
        <w:rPr>
          <w:rFonts w:ascii="Verdana" w:hAnsi="Verdana" w:cs="Verdana"/>
          <w:bCs/>
          <w:i/>
          <w:sz w:val="18"/>
          <w:szCs w:val="18"/>
        </w:rPr>
        <w:t>BYd, van de Implementatiewet richtlijn solvabiliteit II)</w:t>
      </w:r>
    </w:p>
    <w:p w:rsidR="008903B9" w:rsidRPr="00AD55C1" w:rsidRDefault="008903B9"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In de</w:t>
      </w:r>
      <w:r w:rsidR="00DB2870" w:rsidRPr="00AD55C1">
        <w:rPr>
          <w:rFonts w:ascii="Verdana" w:hAnsi="Verdana" w:cs="Verdana"/>
          <w:bCs/>
          <w:sz w:val="18"/>
          <w:szCs w:val="18"/>
        </w:rPr>
        <w:t xml:space="preserve"> </w:t>
      </w:r>
      <w:r w:rsidRPr="00AD55C1">
        <w:rPr>
          <w:rFonts w:ascii="Verdana" w:hAnsi="Verdana" w:cs="Verdana"/>
          <w:bCs/>
          <w:sz w:val="18"/>
          <w:szCs w:val="18"/>
        </w:rPr>
        <w:t>onderdelen BYa</w:t>
      </w:r>
      <w:r w:rsidR="00DB2870" w:rsidRPr="00AD55C1">
        <w:rPr>
          <w:rFonts w:ascii="Verdana" w:hAnsi="Verdana" w:cs="Verdana"/>
          <w:bCs/>
          <w:sz w:val="18"/>
          <w:szCs w:val="18"/>
        </w:rPr>
        <w:t xml:space="preserve"> en</w:t>
      </w:r>
      <w:r w:rsidRPr="00AD55C1">
        <w:rPr>
          <w:rFonts w:ascii="Verdana" w:hAnsi="Verdana" w:cs="Verdana"/>
          <w:bCs/>
          <w:sz w:val="18"/>
          <w:szCs w:val="18"/>
        </w:rPr>
        <w:t xml:space="preserve"> </w:t>
      </w:r>
      <w:r w:rsidR="00DB2870" w:rsidRPr="00AD55C1">
        <w:rPr>
          <w:rFonts w:ascii="Verdana" w:hAnsi="Verdana" w:cs="Verdana"/>
          <w:bCs/>
          <w:sz w:val="18"/>
          <w:szCs w:val="18"/>
        </w:rPr>
        <w:t xml:space="preserve">BYc </w:t>
      </w:r>
      <w:r w:rsidR="00734DD8" w:rsidRPr="00AD55C1">
        <w:rPr>
          <w:rFonts w:ascii="Verdana" w:hAnsi="Verdana" w:cs="Verdana"/>
          <w:bCs/>
          <w:sz w:val="18"/>
          <w:szCs w:val="18"/>
        </w:rPr>
        <w:t xml:space="preserve">wordt </w:t>
      </w:r>
      <w:r w:rsidR="00DB2870" w:rsidRPr="00AD55C1">
        <w:rPr>
          <w:rFonts w:ascii="Verdana" w:hAnsi="Verdana" w:cs="Verdana"/>
          <w:bCs/>
          <w:sz w:val="18"/>
          <w:szCs w:val="18"/>
        </w:rPr>
        <w:t xml:space="preserve">in de artikelen 3:91 en 3:93 </w:t>
      </w:r>
      <w:r w:rsidR="00734DD8" w:rsidRPr="00AD55C1">
        <w:rPr>
          <w:rFonts w:ascii="Verdana" w:hAnsi="Verdana"/>
          <w:sz w:val="18"/>
          <w:szCs w:val="18"/>
        </w:rPr>
        <w:t>aangegeven</w:t>
      </w:r>
      <w:r w:rsidR="00734DD8" w:rsidRPr="00AD55C1">
        <w:rPr>
          <w:rFonts w:ascii="Verdana" w:hAnsi="Verdana" w:cs="Verdana"/>
          <w:bCs/>
          <w:sz w:val="18"/>
          <w:szCs w:val="18"/>
        </w:rPr>
        <w:t xml:space="preserve"> </w:t>
      </w:r>
      <w:r w:rsidR="00DB2870" w:rsidRPr="00AD55C1">
        <w:rPr>
          <w:rFonts w:ascii="Verdana" w:hAnsi="Verdana" w:cs="Verdana"/>
          <w:bCs/>
          <w:sz w:val="18"/>
          <w:szCs w:val="18"/>
        </w:rPr>
        <w:t>welke soort verzekeraars het betreft.</w:t>
      </w:r>
    </w:p>
    <w:p w:rsidR="00C2321E" w:rsidRPr="00AD55C1" w:rsidRDefault="008903B9"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In </w:t>
      </w:r>
      <w:r w:rsidR="00DB2870" w:rsidRPr="00AD55C1">
        <w:rPr>
          <w:rFonts w:ascii="Verdana" w:hAnsi="Verdana" w:cs="Verdana"/>
          <w:bCs/>
          <w:sz w:val="18"/>
          <w:szCs w:val="18"/>
        </w:rPr>
        <w:t xml:space="preserve">de </w:t>
      </w:r>
      <w:r w:rsidRPr="00AD55C1">
        <w:rPr>
          <w:rFonts w:ascii="Verdana" w:hAnsi="Verdana" w:cs="Verdana"/>
          <w:bCs/>
          <w:sz w:val="18"/>
          <w:szCs w:val="18"/>
        </w:rPr>
        <w:t>onderdel</w:t>
      </w:r>
      <w:r w:rsidR="00E05798">
        <w:rPr>
          <w:rFonts w:ascii="Verdana" w:hAnsi="Verdana" w:cs="Verdana"/>
          <w:bCs/>
          <w:sz w:val="18"/>
          <w:szCs w:val="18"/>
        </w:rPr>
        <w:t>en</w:t>
      </w:r>
      <w:r w:rsidRPr="00AD55C1">
        <w:rPr>
          <w:rFonts w:ascii="Verdana" w:hAnsi="Verdana" w:cs="Verdana"/>
          <w:bCs/>
          <w:sz w:val="18"/>
          <w:szCs w:val="18"/>
        </w:rPr>
        <w:t xml:space="preserve"> BYb </w:t>
      </w:r>
      <w:r w:rsidR="00DB2870" w:rsidRPr="00AD55C1">
        <w:rPr>
          <w:rFonts w:ascii="Verdana" w:hAnsi="Verdana" w:cs="Verdana"/>
          <w:bCs/>
          <w:sz w:val="18"/>
          <w:szCs w:val="18"/>
        </w:rPr>
        <w:t xml:space="preserve">en BYd </w:t>
      </w:r>
      <w:r w:rsidRPr="00AD55C1">
        <w:rPr>
          <w:rFonts w:ascii="Verdana" w:hAnsi="Verdana" w:cs="Verdana"/>
          <w:bCs/>
          <w:sz w:val="18"/>
          <w:szCs w:val="18"/>
        </w:rPr>
        <w:t>verval</w:t>
      </w:r>
      <w:r w:rsidR="00DB2870" w:rsidRPr="00AD55C1">
        <w:rPr>
          <w:rFonts w:ascii="Verdana" w:hAnsi="Verdana" w:cs="Verdana"/>
          <w:bCs/>
          <w:sz w:val="18"/>
          <w:szCs w:val="18"/>
        </w:rPr>
        <w:t>len de</w:t>
      </w:r>
      <w:r w:rsidRPr="00AD55C1">
        <w:rPr>
          <w:rFonts w:ascii="Verdana" w:hAnsi="Verdana" w:cs="Verdana"/>
          <w:bCs/>
          <w:sz w:val="18"/>
          <w:szCs w:val="18"/>
        </w:rPr>
        <w:t xml:space="preserve"> artikel</w:t>
      </w:r>
      <w:r w:rsidR="00DB2870" w:rsidRPr="00AD55C1">
        <w:rPr>
          <w:rFonts w:ascii="Verdana" w:hAnsi="Verdana" w:cs="Verdana"/>
          <w:bCs/>
          <w:sz w:val="18"/>
          <w:szCs w:val="18"/>
        </w:rPr>
        <w:t>en</w:t>
      </w:r>
      <w:r w:rsidRPr="00AD55C1">
        <w:rPr>
          <w:rFonts w:ascii="Verdana" w:hAnsi="Verdana" w:cs="Verdana"/>
          <w:bCs/>
          <w:sz w:val="18"/>
          <w:szCs w:val="18"/>
        </w:rPr>
        <w:t xml:space="preserve"> 3:92 </w:t>
      </w:r>
      <w:r w:rsidR="00DB2870" w:rsidRPr="00AD55C1">
        <w:rPr>
          <w:rFonts w:ascii="Verdana" w:hAnsi="Verdana" w:cs="Verdana"/>
          <w:bCs/>
          <w:sz w:val="18"/>
          <w:szCs w:val="18"/>
        </w:rPr>
        <w:t xml:space="preserve">en 3:94 </w:t>
      </w:r>
      <w:r w:rsidRPr="00AD55C1">
        <w:rPr>
          <w:rFonts w:ascii="Verdana" w:hAnsi="Verdana" w:cs="Verdana"/>
          <w:bCs/>
          <w:sz w:val="18"/>
          <w:szCs w:val="18"/>
        </w:rPr>
        <w:t>a</w:t>
      </w:r>
      <w:r w:rsidR="00C2321E" w:rsidRPr="00AD55C1">
        <w:rPr>
          <w:rFonts w:ascii="Verdana" w:hAnsi="Verdana" w:cs="Verdana"/>
          <w:bCs/>
          <w:sz w:val="18"/>
          <w:szCs w:val="18"/>
        </w:rPr>
        <w:t>ls gevolg van het vervallen van artikel 3:89.</w:t>
      </w:r>
    </w:p>
    <w:p w:rsidR="00C2321E" w:rsidRPr="00AD55C1" w:rsidRDefault="00C2321E" w:rsidP="00AD55C1">
      <w:pPr>
        <w:pStyle w:val="Tekstopmerking"/>
        <w:spacing w:line="260" w:lineRule="exact"/>
        <w:rPr>
          <w:rFonts w:ascii="Verdana" w:hAnsi="Verdana" w:cs="Verdana"/>
          <w:bCs/>
          <w:sz w:val="18"/>
          <w:szCs w:val="18"/>
        </w:rPr>
      </w:pPr>
    </w:p>
    <w:p w:rsidR="00085786" w:rsidRPr="00AD55C1" w:rsidRDefault="00085786"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DB2870" w:rsidRPr="00AD55C1">
        <w:rPr>
          <w:rFonts w:ascii="Verdana" w:hAnsi="Verdana" w:cs="Verdana"/>
          <w:bCs/>
          <w:i/>
          <w:sz w:val="18"/>
          <w:szCs w:val="18"/>
        </w:rPr>
        <w:t>5</w:t>
      </w:r>
      <w:r w:rsidR="002163CD" w:rsidRPr="00AD55C1">
        <w:rPr>
          <w:rFonts w:ascii="Verdana" w:hAnsi="Verdana" w:cs="Verdana"/>
          <w:bCs/>
          <w:i/>
          <w:sz w:val="18"/>
          <w:szCs w:val="18"/>
        </w:rPr>
        <w:t>9</w:t>
      </w:r>
      <w:r w:rsidRPr="00AD55C1">
        <w:rPr>
          <w:rFonts w:ascii="Verdana" w:hAnsi="Verdana" w:cs="Verdana"/>
          <w:bCs/>
          <w:i/>
          <w:sz w:val="18"/>
          <w:szCs w:val="18"/>
        </w:rPr>
        <w:t xml:space="preserve"> (artikel I, onderdeel BZ, van de Implementatiewet richtlijn solvabiliteit II)</w:t>
      </w:r>
    </w:p>
    <w:p w:rsidR="00085786" w:rsidRPr="00AD55C1" w:rsidRDefault="00DE131D"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Artikel I, onderdeel BZ, van de Implementatiewet richtlijn solvabiliteit II betreft artikel 3:104 Wft. </w:t>
      </w:r>
      <w:r w:rsidR="00085786" w:rsidRPr="00AD55C1">
        <w:rPr>
          <w:rFonts w:ascii="Verdana" w:hAnsi="Verdana" w:cs="Verdana"/>
          <w:bCs/>
          <w:sz w:val="18"/>
          <w:szCs w:val="18"/>
        </w:rPr>
        <w:t>De verwijzing naar artikel 3:97 van de Wft is geactualiseerd</w:t>
      </w:r>
      <w:r w:rsidR="00426937" w:rsidRPr="00AD55C1">
        <w:rPr>
          <w:rFonts w:ascii="Verdana" w:hAnsi="Verdana" w:cs="Verdana"/>
          <w:bCs/>
          <w:sz w:val="18"/>
          <w:szCs w:val="18"/>
        </w:rPr>
        <w:t>, nu het tweede lid (en daarmee de indeling in leden) met ingang van 1 jan</w:t>
      </w:r>
      <w:r w:rsidR="00095B4F" w:rsidRPr="00AD55C1">
        <w:rPr>
          <w:rFonts w:ascii="Verdana" w:hAnsi="Verdana" w:cs="Verdana"/>
          <w:bCs/>
          <w:sz w:val="18"/>
          <w:szCs w:val="18"/>
        </w:rPr>
        <w:t>uari</w:t>
      </w:r>
      <w:r w:rsidR="00426937" w:rsidRPr="00AD55C1">
        <w:rPr>
          <w:rFonts w:ascii="Verdana" w:hAnsi="Verdana" w:cs="Verdana"/>
          <w:bCs/>
          <w:sz w:val="18"/>
          <w:szCs w:val="18"/>
        </w:rPr>
        <w:t xml:space="preserve"> 2015</w:t>
      </w:r>
      <w:r w:rsidR="00584CE2" w:rsidRPr="00AD55C1">
        <w:rPr>
          <w:rFonts w:ascii="Verdana" w:hAnsi="Verdana" w:cs="Verdana"/>
          <w:bCs/>
          <w:sz w:val="18"/>
          <w:szCs w:val="18"/>
        </w:rPr>
        <w:t xml:space="preserve"> </w:t>
      </w:r>
      <w:r w:rsidR="00426937" w:rsidRPr="00AD55C1">
        <w:rPr>
          <w:rFonts w:ascii="Verdana" w:hAnsi="Verdana" w:cs="Verdana"/>
          <w:bCs/>
          <w:sz w:val="18"/>
          <w:szCs w:val="18"/>
        </w:rPr>
        <w:t xml:space="preserve">zal vervallen </w:t>
      </w:r>
      <w:r w:rsidR="00AE7206">
        <w:rPr>
          <w:rFonts w:ascii="Verdana" w:hAnsi="Verdana" w:cs="Verdana"/>
          <w:bCs/>
          <w:sz w:val="18"/>
          <w:szCs w:val="18"/>
        </w:rPr>
        <w:t xml:space="preserve">als gevolg van </w:t>
      </w:r>
      <w:r w:rsidR="00426937" w:rsidRPr="00AD55C1">
        <w:rPr>
          <w:rFonts w:ascii="Verdana" w:hAnsi="Verdana" w:cs="Verdana"/>
          <w:bCs/>
          <w:sz w:val="18"/>
          <w:szCs w:val="18"/>
        </w:rPr>
        <w:t>de Wijzigingswet financiële markten 2015</w:t>
      </w:r>
      <w:r w:rsidR="00085786" w:rsidRPr="00AD55C1">
        <w:rPr>
          <w:rFonts w:ascii="Verdana" w:hAnsi="Verdana" w:cs="Verdana"/>
          <w:bCs/>
          <w:sz w:val="18"/>
          <w:szCs w:val="18"/>
        </w:rPr>
        <w:t>.</w:t>
      </w:r>
    </w:p>
    <w:p w:rsidR="00C2321E" w:rsidRPr="00AD55C1" w:rsidRDefault="00C2321E" w:rsidP="00AD55C1">
      <w:pPr>
        <w:pStyle w:val="Tekstopmerking"/>
        <w:spacing w:line="260" w:lineRule="exact"/>
        <w:rPr>
          <w:rFonts w:ascii="Verdana" w:hAnsi="Verdana" w:cs="Verdana"/>
          <w:bCs/>
          <w:sz w:val="18"/>
          <w:szCs w:val="18"/>
        </w:rPr>
      </w:pPr>
    </w:p>
    <w:p w:rsidR="00DB2870" w:rsidRPr="00AD55C1" w:rsidRDefault="00DB2870"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2163CD" w:rsidRPr="00AD55C1">
        <w:rPr>
          <w:rFonts w:ascii="Verdana" w:hAnsi="Verdana" w:cs="Verdana"/>
          <w:bCs/>
          <w:i/>
          <w:sz w:val="18"/>
          <w:szCs w:val="18"/>
        </w:rPr>
        <w:t xml:space="preserve">60 </w:t>
      </w:r>
      <w:r w:rsidRPr="00AD55C1">
        <w:rPr>
          <w:rFonts w:ascii="Verdana" w:hAnsi="Verdana" w:cs="Verdana"/>
          <w:bCs/>
          <w:i/>
          <w:sz w:val="18"/>
          <w:szCs w:val="18"/>
        </w:rPr>
        <w:t>(artikel I, onderdeel CAa, van de Implementatiewet richtlijn solvabiliteit II)</w:t>
      </w:r>
    </w:p>
    <w:p w:rsidR="00C2321E" w:rsidRPr="00AD55C1" w:rsidRDefault="00C2321E"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De wijziging brengt de terminologie </w:t>
      </w:r>
      <w:r w:rsidR="00B80742" w:rsidRPr="00AD55C1">
        <w:rPr>
          <w:rFonts w:ascii="Verdana" w:hAnsi="Verdana" w:cs="Verdana"/>
          <w:bCs/>
          <w:sz w:val="18"/>
          <w:szCs w:val="18"/>
        </w:rPr>
        <w:t xml:space="preserve">van artikel 3:97 </w:t>
      </w:r>
      <w:r w:rsidRPr="00AD55C1">
        <w:rPr>
          <w:rFonts w:ascii="Verdana" w:hAnsi="Verdana" w:cs="Verdana"/>
          <w:bCs/>
          <w:sz w:val="18"/>
          <w:szCs w:val="18"/>
        </w:rPr>
        <w:t xml:space="preserve">in overeenstemming met de richtlijn solvabiliteit II. Ook wordt de dividenduitkering weer in de tekst opgenomen. Op 1 januari 2014 is artikel I, onderdeel CA, van de Implementatiewet richtlijn solvabiliteit II, dat voorzag in de opneming van een nieuw artikel 3:97 in de Wft (wat het eerste lid betreft) al in werking getreden. Dat artikel is toegesneden op de terminologie van richtlijn solvabiliteit II. </w:t>
      </w:r>
      <w:r w:rsidRPr="00AD55C1">
        <w:rPr>
          <w:rFonts w:ascii="Verdana" w:hAnsi="Verdana" w:cs="Verdana"/>
          <w:bCs/>
          <w:sz w:val="18"/>
          <w:szCs w:val="18"/>
        </w:rPr>
        <w:lastRenderedPageBreak/>
        <w:t>Aangezien het artikel al voor 1 januari 2016 in werking is getreden, was de gehanteerde terminologie tijdelijk aangepast aan de tot 1 januari 2016 gebruikte terminologie in de Wet op het financieel toezicht</w:t>
      </w:r>
      <w:r w:rsidR="008E110E">
        <w:rPr>
          <w:rStyle w:val="Voetnootmarkering"/>
          <w:rFonts w:ascii="Verdana" w:hAnsi="Verdana" w:cs="Verdana"/>
          <w:bCs/>
          <w:sz w:val="18"/>
          <w:szCs w:val="18"/>
        </w:rPr>
        <w:footnoteReference w:id="17"/>
      </w:r>
      <w:r w:rsidRPr="00AD55C1">
        <w:rPr>
          <w:rFonts w:ascii="Verdana" w:hAnsi="Verdana" w:cs="Verdana"/>
          <w:bCs/>
          <w:sz w:val="18"/>
          <w:szCs w:val="18"/>
        </w:rPr>
        <w:t xml:space="preserve">. Ook is daarbij het tweede lid vervallen. Met de volledige inwerkingtreding van de Implementatiewet richtlijn solvabiliteit II en de inwerkingtreding van het onderhavige wetsvoorstel, </w:t>
      </w:r>
      <w:r w:rsidR="00E05798">
        <w:rPr>
          <w:rFonts w:ascii="Verdana" w:hAnsi="Verdana" w:cs="Verdana"/>
          <w:bCs/>
          <w:sz w:val="18"/>
          <w:szCs w:val="18"/>
        </w:rPr>
        <w:t xml:space="preserve">wordt </w:t>
      </w:r>
      <w:r w:rsidRPr="00AD55C1">
        <w:rPr>
          <w:rFonts w:ascii="Verdana" w:hAnsi="Verdana" w:cs="Verdana"/>
          <w:bCs/>
          <w:sz w:val="18"/>
          <w:szCs w:val="18"/>
        </w:rPr>
        <w:t xml:space="preserve">de tekst van artikel 3:97 weer in overeenstemming worden gebracht met de terminologie zoals deze met ingang van 1 januari 2016 in de Wet op het financieel toezicht </w:t>
      </w:r>
      <w:r w:rsidR="00B80742" w:rsidRPr="00AD55C1">
        <w:rPr>
          <w:rFonts w:ascii="Verdana" w:hAnsi="Verdana" w:cs="Verdana"/>
          <w:bCs/>
          <w:sz w:val="18"/>
          <w:szCs w:val="18"/>
        </w:rPr>
        <w:t xml:space="preserve">wordt </w:t>
      </w:r>
      <w:r w:rsidRPr="00AD55C1">
        <w:rPr>
          <w:rFonts w:ascii="Verdana" w:hAnsi="Verdana" w:cs="Verdana"/>
          <w:bCs/>
          <w:sz w:val="18"/>
          <w:szCs w:val="18"/>
        </w:rPr>
        <w:t xml:space="preserve">opgenomen. </w:t>
      </w:r>
    </w:p>
    <w:p w:rsidR="006C4886" w:rsidRPr="00AD55C1" w:rsidRDefault="006C4886" w:rsidP="00AD55C1">
      <w:pPr>
        <w:pStyle w:val="Tekstopmerking"/>
        <w:spacing w:line="260" w:lineRule="exact"/>
        <w:rPr>
          <w:rFonts w:ascii="Verdana" w:hAnsi="Verdana" w:cs="Verdana"/>
          <w:bCs/>
          <w:sz w:val="18"/>
          <w:szCs w:val="18"/>
        </w:rPr>
      </w:pPr>
    </w:p>
    <w:p w:rsidR="00C2321E" w:rsidRPr="00AD55C1" w:rsidRDefault="00C2321E" w:rsidP="00AD55C1">
      <w:pPr>
        <w:pStyle w:val="Tekstopmerking"/>
        <w:spacing w:line="260" w:lineRule="exact"/>
        <w:rPr>
          <w:rFonts w:ascii="Verdana" w:hAnsi="Verdana" w:cs="Verdana"/>
          <w:bCs/>
          <w:i/>
          <w:sz w:val="18"/>
          <w:szCs w:val="18"/>
        </w:rPr>
      </w:pPr>
      <w:r w:rsidRPr="00AD55C1">
        <w:rPr>
          <w:rFonts w:ascii="Verdana" w:hAnsi="Verdana" w:cs="Verdana"/>
          <w:bCs/>
          <w:i/>
          <w:sz w:val="18"/>
          <w:szCs w:val="18"/>
        </w:rPr>
        <w:t xml:space="preserve">A, onder </w:t>
      </w:r>
      <w:r w:rsidR="00B80742" w:rsidRPr="00AD55C1">
        <w:rPr>
          <w:rFonts w:ascii="Verdana" w:hAnsi="Verdana" w:cs="Verdana"/>
          <w:bCs/>
          <w:i/>
          <w:sz w:val="18"/>
          <w:szCs w:val="18"/>
        </w:rPr>
        <w:t>6</w:t>
      </w:r>
      <w:r w:rsidR="002163CD" w:rsidRPr="00AD55C1">
        <w:rPr>
          <w:rFonts w:ascii="Verdana" w:hAnsi="Verdana" w:cs="Verdana"/>
          <w:bCs/>
          <w:i/>
          <w:sz w:val="18"/>
          <w:szCs w:val="18"/>
        </w:rPr>
        <w:t>1</w:t>
      </w:r>
      <w:r w:rsidRPr="00AD55C1">
        <w:rPr>
          <w:rFonts w:ascii="Verdana" w:hAnsi="Verdana" w:cs="Verdana"/>
          <w:bCs/>
          <w:i/>
          <w:sz w:val="18"/>
          <w:szCs w:val="18"/>
        </w:rPr>
        <w:t xml:space="preserve"> (artikel I, onderd</w:t>
      </w:r>
      <w:r w:rsidR="008E110E">
        <w:rPr>
          <w:rFonts w:ascii="Verdana" w:hAnsi="Verdana" w:cs="Verdana"/>
          <w:bCs/>
          <w:i/>
          <w:sz w:val="18"/>
          <w:szCs w:val="18"/>
        </w:rPr>
        <w:t>e</w:t>
      </w:r>
      <w:r w:rsidRPr="00AD55C1">
        <w:rPr>
          <w:rFonts w:ascii="Verdana" w:hAnsi="Verdana" w:cs="Verdana"/>
          <w:bCs/>
          <w:i/>
          <w:sz w:val="18"/>
          <w:szCs w:val="18"/>
        </w:rPr>
        <w:t>el CB</w:t>
      </w:r>
      <w:r w:rsidR="0051062E" w:rsidRPr="00AD55C1">
        <w:rPr>
          <w:rFonts w:ascii="Verdana" w:hAnsi="Verdana" w:cs="Verdana"/>
          <w:bCs/>
          <w:i/>
          <w:sz w:val="18"/>
          <w:szCs w:val="18"/>
        </w:rPr>
        <w:t>b,</w:t>
      </w:r>
      <w:r w:rsidR="002163CD" w:rsidRPr="00AD55C1">
        <w:rPr>
          <w:rFonts w:ascii="Verdana" w:hAnsi="Verdana" w:cs="Verdana"/>
          <w:bCs/>
          <w:i/>
          <w:sz w:val="18"/>
          <w:szCs w:val="18"/>
        </w:rPr>
        <w:t xml:space="preserve"> </w:t>
      </w:r>
      <w:r w:rsidRPr="00AD55C1">
        <w:rPr>
          <w:rFonts w:ascii="Verdana" w:hAnsi="Verdana" w:cs="Verdana"/>
          <w:bCs/>
          <w:i/>
          <w:sz w:val="18"/>
          <w:szCs w:val="18"/>
        </w:rPr>
        <w:t>van de Implementatiewet richtlijn solvabiliteit II)</w:t>
      </w:r>
    </w:p>
    <w:p w:rsidR="00C2321E" w:rsidRPr="00AD55C1" w:rsidRDefault="0051062E"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Onderdeel CB</w:t>
      </w:r>
      <w:r w:rsidR="008E110E">
        <w:rPr>
          <w:rFonts w:ascii="Verdana" w:hAnsi="Verdana" w:cs="Verdana"/>
          <w:bCs/>
          <w:sz w:val="18"/>
          <w:szCs w:val="18"/>
        </w:rPr>
        <w:t>b</w:t>
      </w:r>
      <w:r w:rsidRPr="00AD55C1">
        <w:rPr>
          <w:rFonts w:ascii="Verdana" w:hAnsi="Verdana" w:cs="Verdana"/>
          <w:bCs/>
          <w:sz w:val="18"/>
          <w:szCs w:val="18"/>
        </w:rPr>
        <w:t xml:space="preserve"> voegt artikel 3:111c in. </w:t>
      </w:r>
      <w:r w:rsidR="00C2321E" w:rsidRPr="00AD55C1">
        <w:rPr>
          <w:rFonts w:ascii="Verdana" w:hAnsi="Verdana" w:cs="Verdana"/>
          <w:bCs/>
          <w:sz w:val="18"/>
          <w:szCs w:val="18"/>
        </w:rPr>
        <w:t xml:space="preserve">Teneinde </w:t>
      </w:r>
      <w:r w:rsidR="008E110E">
        <w:rPr>
          <w:rFonts w:ascii="Verdana" w:hAnsi="Verdana" w:cs="Verdana"/>
          <w:bCs/>
          <w:sz w:val="18"/>
          <w:szCs w:val="18"/>
        </w:rPr>
        <w:t xml:space="preserve">in het geval van een portefeuilleoverdracht </w:t>
      </w:r>
      <w:r w:rsidR="00C2321E" w:rsidRPr="00AD55C1">
        <w:rPr>
          <w:rFonts w:ascii="Verdana" w:hAnsi="Verdana" w:cs="Verdana"/>
          <w:bCs/>
          <w:sz w:val="18"/>
          <w:szCs w:val="18"/>
        </w:rPr>
        <w:t xml:space="preserve">de waarborgen voor de polishouder op hetzelfde niveau te houden, is bepaald dat Solvency II verzekeraars portefeuilleoverdrachten alleen aan andere Solvency II verzekeraars kunnen doen. Uit de bestaande bepalingen over de portefeuilleoverdracht blijkt reeds dat bijvoorbeeld een levensverzekeraar zijn portefeuille niet kan overdragen aan een schadeverzekeraar. Dergelijke beperkingen behoeven daarom niet in de onderhavige bepaling te worden opgenomen. Alleen indien het in het belang van polishouders is, kan met instemming van DNB een portefeuille worden overgedragen aan </w:t>
      </w:r>
      <w:r w:rsidR="00BE52E9">
        <w:rPr>
          <w:rFonts w:ascii="Verdana" w:hAnsi="Verdana" w:cs="Verdana"/>
          <w:bCs/>
          <w:sz w:val="18"/>
          <w:szCs w:val="18"/>
        </w:rPr>
        <w:t xml:space="preserve">een </w:t>
      </w:r>
      <w:r w:rsidR="00C2321E" w:rsidRPr="00AD55C1">
        <w:rPr>
          <w:rFonts w:ascii="Verdana" w:hAnsi="Verdana" w:cs="Verdana"/>
          <w:bCs/>
          <w:sz w:val="18"/>
          <w:szCs w:val="18"/>
        </w:rPr>
        <w:t xml:space="preserve">verzekeraar met beperkte risico-omvang. Dit kan bijvoorbeeld wenselijk zijn indien de overdragende Solvency II verzekeraar in financiële problemen verkeert en er geen andere Solvency II verzekeraar bereid is de portefeuille over te nemen, maar wel een verzekeraar met beperkte risico-omvang. Laatstbedoelde verzekeraars kunnen hun portefeuille natuurlijk wel overdragen aan een Solvency II verzekeraar. </w:t>
      </w:r>
    </w:p>
    <w:p w:rsidR="00C2321E" w:rsidRPr="00AD55C1" w:rsidRDefault="00C2321E"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Tevens is bepaald dat een portefeuille niet mag worden overgedragen aan een vrijgestelde verzekeraar. Dit wordt tot uitdrukking gebracht door de eis dat de betrokken verzekeraar onder prudentieel toezicht staat. Hierdoor kan ook worden overgedragen aan bijvoorbeeld een natura-uitvaartverzekeraar met zetel in een aangewezen staat.</w:t>
      </w:r>
    </w:p>
    <w:p w:rsidR="00C2321E" w:rsidRPr="00AD55C1" w:rsidRDefault="00C2321E"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Vanzelfsprekend kan een levensverzekeraar, natura-uitvaartverzekeraar of een schadeverzekeraar met beperkte risico-omvang zijn rechten en verplichtingen uit verzekering overdragen aan zowel een andere soortgelijke verzekeraar met beperkte risico-omvang als aan een andere soortgelijke verzekeraar, niet zijnde een verzekeraar met beperkte risico-omvang.</w:t>
      </w:r>
    </w:p>
    <w:p w:rsidR="00C2321E" w:rsidRPr="00AD55C1" w:rsidRDefault="00C2321E" w:rsidP="00AD55C1">
      <w:pPr>
        <w:pStyle w:val="Tekstopmerking"/>
        <w:spacing w:line="260" w:lineRule="exact"/>
        <w:rPr>
          <w:rFonts w:ascii="Verdana" w:hAnsi="Verdana" w:cs="Verdana"/>
          <w:bCs/>
          <w:sz w:val="18"/>
          <w:szCs w:val="18"/>
        </w:rPr>
      </w:pPr>
    </w:p>
    <w:p w:rsidR="00D50CE9" w:rsidRPr="00AD55C1" w:rsidRDefault="00D50CE9"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037E81" w:rsidRPr="00AD55C1">
        <w:rPr>
          <w:rStyle w:val="Nadrukcursief"/>
          <w:rFonts w:ascii="Verdana" w:hAnsi="Verdana"/>
          <w:iCs w:val="0"/>
          <w:sz w:val="18"/>
          <w:szCs w:val="18"/>
        </w:rPr>
        <w:t>6</w:t>
      </w:r>
      <w:r w:rsidR="002163CD" w:rsidRPr="00AD55C1">
        <w:rPr>
          <w:rStyle w:val="Nadrukcursief"/>
          <w:rFonts w:ascii="Verdana" w:hAnsi="Verdana"/>
          <w:iCs w:val="0"/>
          <w:sz w:val="18"/>
          <w:szCs w:val="18"/>
        </w:rPr>
        <w:t>2</w:t>
      </w:r>
      <w:r w:rsidRPr="00AD55C1">
        <w:rPr>
          <w:rStyle w:val="Nadrukcursief"/>
          <w:rFonts w:ascii="Verdana" w:hAnsi="Verdana"/>
          <w:iCs w:val="0"/>
          <w:sz w:val="18"/>
          <w:szCs w:val="18"/>
        </w:rPr>
        <w:t xml:space="preserve"> (artikel I, onderdeel CE, van de Implementatiewet richtlijn solvabiliteit II)</w:t>
      </w:r>
    </w:p>
    <w:p w:rsidR="00D50CE9" w:rsidRPr="00AD55C1" w:rsidRDefault="00DE131D" w:rsidP="00AD55C1">
      <w:pPr>
        <w:spacing w:line="260" w:lineRule="exact"/>
        <w:rPr>
          <w:rFonts w:ascii="Verdana" w:hAnsi="Verdana" w:cs="Verdana"/>
          <w:bCs/>
          <w:sz w:val="18"/>
          <w:szCs w:val="18"/>
        </w:rPr>
      </w:pPr>
      <w:r w:rsidRPr="00AD55C1">
        <w:rPr>
          <w:rStyle w:val="Nadrukcursief"/>
          <w:rFonts w:ascii="Verdana" w:hAnsi="Verdana"/>
          <w:i w:val="0"/>
          <w:iCs w:val="0"/>
          <w:sz w:val="18"/>
          <w:szCs w:val="18"/>
        </w:rPr>
        <w:t>Artikel I, onderdeel CE, van de Implementatiewet richtlijn solvabiliteit II betreft artikel 3:118 Wft.</w:t>
      </w:r>
      <w:r w:rsidRPr="00AD55C1">
        <w:rPr>
          <w:rFonts w:ascii="Verdana" w:hAnsi="Verdana" w:cs="Verdana"/>
          <w:bCs/>
          <w:sz w:val="18"/>
          <w:szCs w:val="18"/>
        </w:rPr>
        <w:t xml:space="preserve"> </w:t>
      </w:r>
      <w:r w:rsidR="00D50CE9" w:rsidRPr="00AD55C1">
        <w:rPr>
          <w:rFonts w:ascii="Verdana" w:hAnsi="Verdana" w:cs="Verdana"/>
          <w:bCs/>
          <w:sz w:val="18"/>
          <w:szCs w:val="18"/>
        </w:rPr>
        <w:t>De</w:t>
      </w:r>
      <w:r w:rsidR="00EC2657" w:rsidRPr="00AD55C1">
        <w:rPr>
          <w:rFonts w:ascii="Verdana" w:hAnsi="Verdana" w:cs="Verdana"/>
          <w:bCs/>
          <w:sz w:val="18"/>
          <w:szCs w:val="18"/>
        </w:rPr>
        <w:t xml:space="preserve"> </w:t>
      </w:r>
      <w:r w:rsidR="00AE7206">
        <w:rPr>
          <w:rFonts w:ascii="Verdana" w:hAnsi="Verdana" w:cs="Verdana"/>
          <w:bCs/>
          <w:sz w:val="18"/>
          <w:szCs w:val="18"/>
        </w:rPr>
        <w:t xml:space="preserve">door </w:t>
      </w:r>
      <w:r w:rsidR="00584CE2" w:rsidRPr="00AD55C1">
        <w:rPr>
          <w:rFonts w:ascii="Verdana" w:hAnsi="Verdana" w:cs="Verdana"/>
          <w:bCs/>
          <w:sz w:val="18"/>
          <w:szCs w:val="18"/>
        </w:rPr>
        <w:t>de</w:t>
      </w:r>
      <w:r w:rsidR="00D50CE9" w:rsidRPr="00AD55C1">
        <w:rPr>
          <w:rFonts w:ascii="Verdana" w:hAnsi="Verdana" w:cs="Verdana"/>
          <w:bCs/>
          <w:sz w:val="18"/>
          <w:szCs w:val="18"/>
        </w:rPr>
        <w:t xml:space="preserve"> </w:t>
      </w:r>
      <w:r w:rsidR="00426937" w:rsidRPr="00AD55C1">
        <w:rPr>
          <w:rFonts w:ascii="Verdana" w:hAnsi="Verdana" w:cs="Verdana"/>
          <w:bCs/>
          <w:sz w:val="18"/>
          <w:szCs w:val="18"/>
        </w:rPr>
        <w:t>W</w:t>
      </w:r>
      <w:r w:rsidR="00D50CE9" w:rsidRPr="00AD55C1">
        <w:rPr>
          <w:rFonts w:ascii="Verdana" w:hAnsi="Verdana" w:cs="Verdana"/>
          <w:bCs/>
          <w:sz w:val="18"/>
          <w:szCs w:val="18"/>
        </w:rPr>
        <w:t xml:space="preserve">ijzigingswet financiële markten 2015 </w:t>
      </w:r>
      <w:r w:rsidR="00AE7206">
        <w:rPr>
          <w:rFonts w:ascii="Verdana" w:hAnsi="Verdana" w:cs="Verdana"/>
          <w:bCs/>
          <w:sz w:val="18"/>
          <w:szCs w:val="18"/>
        </w:rPr>
        <w:t xml:space="preserve">aangebrachte </w:t>
      </w:r>
      <w:r w:rsidR="00D50CE9" w:rsidRPr="00AD55C1">
        <w:rPr>
          <w:rFonts w:ascii="Verdana" w:hAnsi="Verdana" w:cs="Verdana"/>
          <w:bCs/>
          <w:sz w:val="18"/>
          <w:szCs w:val="18"/>
        </w:rPr>
        <w:t xml:space="preserve">aanpassing </w:t>
      </w:r>
      <w:r w:rsidR="00584CE2" w:rsidRPr="00AD55C1">
        <w:rPr>
          <w:rFonts w:ascii="Verdana" w:hAnsi="Verdana" w:cs="Verdana"/>
          <w:bCs/>
          <w:sz w:val="18"/>
          <w:szCs w:val="18"/>
        </w:rPr>
        <w:t>waarbij</w:t>
      </w:r>
      <w:r w:rsidR="00EC2657" w:rsidRPr="00AD55C1">
        <w:rPr>
          <w:rFonts w:ascii="Verdana" w:hAnsi="Verdana" w:cs="Verdana"/>
          <w:bCs/>
          <w:sz w:val="18"/>
          <w:szCs w:val="18"/>
        </w:rPr>
        <w:t xml:space="preserve"> </w:t>
      </w:r>
      <w:r w:rsidR="00D50CE9" w:rsidRPr="00AD55C1">
        <w:rPr>
          <w:rFonts w:ascii="Verdana" w:hAnsi="Verdana" w:cs="Verdana"/>
          <w:bCs/>
          <w:sz w:val="18"/>
          <w:szCs w:val="18"/>
        </w:rPr>
        <w:t xml:space="preserve">het mogelijk </w:t>
      </w:r>
      <w:r w:rsidR="00584CE2" w:rsidRPr="00AD55C1">
        <w:rPr>
          <w:rFonts w:ascii="Verdana" w:hAnsi="Verdana" w:cs="Verdana"/>
          <w:bCs/>
          <w:sz w:val="18"/>
          <w:szCs w:val="18"/>
        </w:rPr>
        <w:t xml:space="preserve">wordt dat </w:t>
      </w:r>
      <w:r w:rsidR="00D50CE9" w:rsidRPr="00AD55C1">
        <w:rPr>
          <w:rFonts w:ascii="Verdana" w:hAnsi="Verdana" w:cs="Verdana"/>
          <w:bCs/>
          <w:sz w:val="18"/>
          <w:szCs w:val="18"/>
        </w:rPr>
        <w:t>DNB tegen een voorgenomen portefeuilleoverdracht</w:t>
      </w:r>
      <w:r w:rsidR="00584CE2" w:rsidRPr="00AD55C1">
        <w:rPr>
          <w:rFonts w:ascii="Verdana" w:hAnsi="Verdana" w:cs="Verdana"/>
          <w:bCs/>
          <w:sz w:val="18"/>
          <w:szCs w:val="18"/>
        </w:rPr>
        <w:t xml:space="preserve"> bedenkingen heeft</w:t>
      </w:r>
      <w:r w:rsidR="00AE7206">
        <w:rPr>
          <w:rFonts w:ascii="Verdana" w:hAnsi="Verdana" w:cs="Verdana"/>
          <w:bCs/>
          <w:sz w:val="18"/>
          <w:szCs w:val="18"/>
        </w:rPr>
        <w:t>,</w:t>
      </w:r>
      <w:r w:rsidR="00D50CE9" w:rsidRPr="00AD55C1">
        <w:rPr>
          <w:rFonts w:ascii="Verdana" w:hAnsi="Verdana" w:cs="Verdana"/>
          <w:bCs/>
          <w:sz w:val="18"/>
          <w:szCs w:val="18"/>
        </w:rPr>
        <w:t xml:space="preserve"> </w:t>
      </w:r>
      <w:r w:rsidR="0063410F">
        <w:rPr>
          <w:rFonts w:ascii="Verdana" w:hAnsi="Verdana" w:cs="Verdana"/>
          <w:bCs/>
          <w:sz w:val="18"/>
          <w:szCs w:val="18"/>
        </w:rPr>
        <w:t xml:space="preserve">wordt </w:t>
      </w:r>
      <w:r w:rsidR="00D50CE9" w:rsidRPr="00AD55C1">
        <w:rPr>
          <w:rFonts w:ascii="Verdana" w:hAnsi="Verdana" w:cs="Verdana"/>
          <w:bCs/>
          <w:sz w:val="18"/>
          <w:szCs w:val="18"/>
        </w:rPr>
        <w:t>nu ook in artikel 3:118, eerste en zesde lid, verwerkt.</w:t>
      </w:r>
      <w:r w:rsidR="0051062E" w:rsidRPr="00AD55C1">
        <w:rPr>
          <w:rFonts w:ascii="Verdana" w:hAnsi="Verdana" w:cs="Verdana"/>
          <w:bCs/>
          <w:sz w:val="18"/>
          <w:szCs w:val="18"/>
        </w:rPr>
        <w:t xml:space="preserve"> DNB kan die bedenkingen maken indien bijvoorbeeld bij levensverzekeringen als gevolg van de overdracht de fiscale aftrek zou vervallen, of indien bij schadeverzekeringen het opzeggingsrecht </w:t>
      </w:r>
      <w:r w:rsidR="00E46103" w:rsidRPr="00AD55C1">
        <w:rPr>
          <w:rFonts w:ascii="Verdana" w:hAnsi="Verdana" w:cs="Verdana"/>
          <w:bCs/>
          <w:sz w:val="18"/>
          <w:szCs w:val="18"/>
        </w:rPr>
        <w:t xml:space="preserve">dat </w:t>
      </w:r>
      <w:r w:rsidR="0051062E" w:rsidRPr="00AD55C1">
        <w:rPr>
          <w:rFonts w:ascii="Verdana" w:hAnsi="Verdana" w:cs="Verdana"/>
          <w:bCs/>
          <w:sz w:val="18"/>
          <w:szCs w:val="18"/>
        </w:rPr>
        <w:t xml:space="preserve">polishouders </w:t>
      </w:r>
      <w:r w:rsidR="00E46103" w:rsidRPr="00AD55C1">
        <w:rPr>
          <w:rFonts w:ascii="Verdana" w:hAnsi="Verdana" w:cs="Verdana"/>
          <w:bCs/>
          <w:sz w:val="18"/>
          <w:szCs w:val="18"/>
        </w:rPr>
        <w:t xml:space="preserve">in dat </w:t>
      </w:r>
      <w:r w:rsidR="0051062E" w:rsidRPr="00AD55C1">
        <w:rPr>
          <w:rFonts w:ascii="Verdana" w:hAnsi="Verdana" w:cs="Verdana"/>
          <w:bCs/>
          <w:sz w:val="18"/>
          <w:szCs w:val="18"/>
        </w:rPr>
        <w:t xml:space="preserve">geval </w:t>
      </w:r>
      <w:r w:rsidR="00E46103" w:rsidRPr="00AD55C1">
        <w:rPr>
          <w:rFonts w:ascii="Verdana" w:hAnsi="Verdana" w:cs="Verdana"/>
          <w:bCs/>
          <w:sz w:val="18"/>
          <w:szCs w:val="18"/>
        </w:rPr>
        <w:t xml:space="preserve">hebben </w:t>
      </w:r>
      <w:r w:rsidR="00B21996">
        <w:rPr>
          <w:rFonts w:ascii="Verdana" w:hAnsi="Verdana" w:cs="Verdana"/>
          <w:bCs/>
          <w:sz w:val="18"/>
          <w:szCs w:val="18"/>
        </w:rPr>
        <w:t xml:space="preserve">als gevolg van </w:t>
      </w:r>
      <w:r w:rsidR="00E46103" w:rsidRPr="00AD55C1">
        <w:rPr>
          <w:rFonts w:ascii="Verdana" w:hAnsi="Verdana" w:cs="Verdana"/>
          <w:bCs/>
          <w:sz w:val="18"/>
          <w:szCs w:val="18"/>
        </w:rPr>
        <w:t xml:space="preserve">de </w:t>
      </w:r>
      <w:r w:rsidR="0051062E" w:rsidRPr="00AD55C1">
        <w:rPr>
          <w:rFonts w:ascii="Verdana" w:hAnsi="Verdana" w:cs="Verdana"/>
          <w:bCs/>
          <w:sz w:val="18"/>
          <w:szCs w:val="18"/>
        </w:rPr>
        <w:t xml:space="preserve">gekozen constructie </w:t>
      </w:r>
      <w:r w:rsidR="00B21996">
        <w:rPr>
          <w:rFonts w:ascii="Verdana" w:hAnsi="Verdana" w:cs="Verdana"/>
          <w:bCs/>
          <w:sz w:val="18"/>
          <w:szCs w:val="18"/>
        </w:rPr>
        <w:t>deels teniet wordt ged</w:t>
      </w:r>
      <w:r w:rsidR="0051062E" w:rsidRPr="00AD55C1">
        <w:rPr>
          <w:rFonts w:ascii="Verdana" w:hAnsi="Verdana" w:cs="Verdana"/>
          <w:bCs/>
          <w:sz w:val="18"/>
          <w:szCs w:val="18"/>
        </w:rPr>
        <w:t>aan.</w:t>
      </w:r>
      <w:r w:rsidR="00E46103" w:rsidRPr="00AD55C1">
        <w:rPr>
          <w:rFonts w:ascii="Verdana" w:hAnsi="Verdana" w:cs="Verdana"/>
          <w:bCs/>
          <w:sz w:val="18"/>
          <w:szCs w:val="18"/>
        </w:rPr>
        <w:t xml:space="preserve"> </w:t>
      </w:r>
    </w:p>
    <w:p w:rsidR="00085786" w:rsidRPr="00AD55C1" w:rsidRDefault="00085786" w:rsidP="00AD55C1">
      <w:pPr>
        <w:spacing w:line="260" w:lineRule="exact"/>
        <w:rPr>
          <w:rFonts w:ascii="Verdana" w:hAnsi="Verdana"/>
          <w:sz w:val="18"/>
          <w:szCs w:val="18"/>
        </w:rPr>
      </w:pPr>
    </w:p>
    <w:p w:rsidR="00E46103" w:rsidRPr="00AD55C1" w:rsidRDefault="00E46103" w:rsidP="00AD55C1">
      <w:pPr>
        <w:spacing w:line="260" w:lineRule="exact"/>
        <w:rPr>
          <w:rFonts w:ascii="Verdana" w:hAnsi="Verdana" w:cs="Verdana"/>
          <w:bCs/>
          <w:sz w:val="18"/>
          <w:szCs w:val="18"/>
        </w:rPr>
      </w:pPr>
      <w:r w:rsidRPr="00AD55C1">
        <w:rPr>
          <w:rStyle w:val="Nadrukcursief"/>
          <w:rFonts w:ascii="Verdana" w:hAnsi="Verdana"/>
          <w:iCs w:val="0"/>
          <w:sz w:val="18"/>
          <w:szCs w:val="18"/>
        </w:rPr>
        <w:lastRenderedPageBreak/>
        <w:t>A, onder 6</w:t>
      </w:r>
      <w:r w:rsidR="002163CD" w:rsidRPr="00AD55C1">
        <w:rPr>
          <w:rStyle w:val="Nadrukcursief"/>
          <w:rFonts w:ascii="Verdana" w:hAnsi="Verdana"/>
          <w:iCs w:val="0"/>
          <w:sz w:val="18"/>
          <w:szCs w:val="18"/>
        </w:rPr>
        <w:t>3</w:t>
      </w:r>
      <w:r w:rsidR="007474FC" w:rsidRPr="00AD55C1">
        <w:rPr>
          <w:rStyle w:val="Nadrukcursief"/>
          <w:rFonts w:ascii="Verdana" w:hAnsi="Verdana"/>
          <w:iCs w:val="0"/>
          <w:sz w:val="18"/>
          <w:szCs w:val="18"/>
        </w:rPr>
        <w:t xml:space="preserve"> en</w:t>
      </w:r>
      <w:r w:rsidR="002163CD" w:rsidRPr="00AD55C1">
        <w:rPr>
          <w:rStyle w:val="Nadrukcursief"/>
          <w:rFonts w:ascii="Verdana" w:hAnsi="Verdana"/>
          <w:iCs w:val="0"/>
          <w:sz w:val="18"/>
          <w:szCs w:val="18"/>
        </w:rPr>
        <w:t xml:space="preserve"> 64</w:t>
      </w:r>
      <w:r w:rsidRPr="00AD55C1">
        <w:rPr>
          <w:rStyle w:val="Nadrukcursief"/>
          <w:rFonts w:ascii="Verdana" w:hAnsi="Verdana"/>
          <w:iCs w:val="0"/>
          <w:sz w:val="18"/>
          <w:szCs w:val="18"/>
        </w:rPr>
        <w:t xml:space="preserve"> (artikel I, onderdel</w:t>
      </w:r>
      <w:r w:rsidR="007474FC" w:rsidRPr="00AD55C1">
        <w:rPr>
          <w:rStyle w:val="Nadrukcursief"/>
          <w:rFonts w:ascii="Verdana" w:hAnsi="Verdana"/>
          <w:iCs w:val="0"/>
          <w:sz w:val="18"/>
          <w:szCs w:val="18"/>
        </w:rPr>
        <w:t>en</w:t>
      </w:r>
      <w:r w:rsidRPr="00AD55C1">
        <w:rPr>
          <w:rStyle w:val="Nadrukcursief"/>
          <w:rFonts w:ascii="Verdana" w:hAnsi="Verdana"/>
          <w:iCs w:val="0"/>
          <w:sz w:val="18"/>
          <w:szCs w:val="18"/>
        </w:rPr>
        <w:t xml:space="preserve"> CEa</w:t>
      </w:r>
      <w:r w:rsidR="007474FC" w:rsidRPr="00AD55C1">
        <w:rPr>
          <w:rStyle w:val="Nadrukcursief"/>
          <w:rFonts w:ascii="Verdana" w:hAnsi="Verdana"/>
          <w:iCs w:val="0"/>
          <w:sz w:val="18"/>
          <w:szCs w:val="18"/>
        </w:rPr>
        <w:t>, CEb, CGa, CGb en CGc</w:t>
      </w:r>
      <w:r w:rsidRPr="00AD55C1">
        <w:rPr>
          <w:rStyle w:val="Nadrukcursief"/>
          <w:rFonts w:ascii="Verdana" w:hAnsi="Verdana"/>
          <w:iCs w:val="0"/>
          <w:sz w:val="18"/>
          <w:szCs w:val="18"/>
        </w:rPr>
        <w:t>, van de Implementatiewet richtlijn solvabiliteit II)</w:t>
      </w:r>
    </w:p>
    <w:p w:rsidR="008B5C55" w:rsidRPr="00AD55C1" w:rsidRDefault="008B5C55" w:rsidP="00AD55C1">
      <w:pPr>
        <w:pStyle w:val="Tekstopmerking"/>
        <w:spacing w:line="260" w:lineRule="exact"/>
        <w:rPr>
          <w:rFonts w:ascii="Verdana" w:hAnsi="Verdana" w:cs="Verdana"/>
          <w:bCs/>
          <w:sz w:val="18"/>
          <w:szCs w:val="18"/>
        </w:rPr>
      </w:pPr>
      <w:r w:rsidRPr="00AD55C1">
        <w:rPr>
          <w:rFonts w:ascii="Verdana" w:hAnsi="Verdana" w:cs="Verdana"/>
          <w:bCs/>
          <w:sz w:val="18"/>
          <w:szCs w:val="18"/>
        </w:rPr>
        <w:t xml:space="preserve">In de betrokken artikelen </w:t>
      </w:r>
      <w:r w:rsidR="00734DD8" w:rsidRPr="00AD55C1">
        <w:rPr>
          <w:rFonts w:ascii="Verdana" w:hAnsi="Verdana" w:cs="Verdana"/>
          <w:bCs/>
          <w:sz w:val="18"/>
          <w:szCs w:val="18"/>
        </w:rPr>
        <w:t xml:space="preserve">wordt </w:t>
      </w:r>
      <w:r w:rsidR="00734DD8" w:rsidRPr="00AD55C1">
        <w:rPr>
          <w:rFonts w:ascii="Verdana" w:hAnsi="Verdana"/>
          <w:sz w:val="18"/>
          <w:szCs w:val="18"/>
        </w:rPr>
        <w:t>aangegeven</w:t>
      </w:r>
      <w:r w:rsidR="00734DD8" w:rsidRPr="00AD55C1">
        <w:rPr>
          <w:rFonts w:ascii="Verdana" w:hAnsi="Verdana" w:cs="Verdana"/>
          <w:bCs/>
          <w:sz w:val="18"/>
          <w:szCs w:val="18"/>
        </w:rPr>
        <w:t xml:space="preserve"> </w:t>
      </w:r>
      <w:r w:rsidRPr="00AD55C1">
        <w:rPr>
          <w:rFonts w:ascii="Verdana" w:hAnsi="Verdana" w:cs="Verdana"/>
          <w:bCs/>
          <w:sz w:val="18"/>
          <w:szCs w:val="18"/>
        </w:rPr>
        <w:t>welke soort verzekeraars het betreft.</w:t>
      </w:r>
    </w:p>
    <w:p w:rsidR="00E46103" w:rsidRPr="00AD55C1" w:rsidRDefault="00E46103" w:rsidP="00AD55C1">
      <w:pPr>
        <w:spacing w:line="260" w:lineRule="exact"/>
        <w:rPr>
          <w:rStyle w:val="Nadrukcursief"/>
          <w:rFonts w:ascii="Verdana" w:hAnsi="Verdana"/>
          <w:iCs w:val="0"/>
          <w:sz w:val="18"/>
          <w:szCs w:val="18"/>
        </w:rPr>
      </w:pPr>
    </w:p>
    <w:p w:rsidR="00D50CE9" w:rsidRPr="00AD55C1" w:rsidRDefault="00D50CE9"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8B5C55" w:rsidRPr="00AD55C1">
        <w:rPr>
          <w:rStyle w:val="Nadrukcursief"/>
          <w:rFonts w:ascii="Verdana" w:hAnsi="Verdana"/>
          <w:iCs w:val="0"/>
          <w:sz w:val="18"/>
          <w:szCs w:val="18"/>
        </w:rPr>
        <w:t>65</w:t>
      </w:r>
      <w:r w:rsidR="00CD0B8D" w:rsidRPr="00AD55C1">
        <w:rPr>
          <w:rStyle w:val="Nadrukcursief"/>
          <w:rFonts w:ascii="Verdana" w:hAnsi="Verdana"/>
          <w:iCs w:val="0"/>
          <w:sz w:val="18"/>
          <w:szCs w:val="18"/>
        </w:rPr>
        <w:t xml:space="preserve"> </w:t>
      </w:r>
      <w:r w:rsidRPr="00AD55C1">
        <w:rPr>
          <w:rStyle w:val="Nadrukcursief"/>
          <w:rFonts w:ascii="Verdana" w:hAnsi="Verdana"/>
          <w:iCs w:val="0"/>
          <w:sz w:val="18"/>
          <w:szCs w:val="18"/>
        </w:rPr>
        <w:t>(artikel I, onderd</w:t>
      </w:r>
      <w:r w:rsidR="008D1F2E">
        <w:rPr>
          <w:rStyle w:val="Nadrukcursief"/>
          <w:rFonts w:ascii="Verdana" w:hAnsi="Verdana"/>
          <w:iCs w:val="0"/>
          <w:sz w:val="18"/>
          <w:szCs w:val="18"/>
        </w:rPr>
        <w:t>e</w:t>
      </w:r>
      <w:r w:rsidRPr="00AD55C1">
        <w:rPr>
          <w:rStyle w:val="Nadrukcursief"/>
          <w:rFonts w:ascii="Verdana" w:hAnsi="Verdana"/>
          <w:iCs w:val="0"/>
          <w:sz w:val="18"/>
          <w:szCs w:val="18"/>
        </w:rPr>
        <w:t>el CH</w:t>
      </w:r>
      <w:r w:rsidR="008B5C55" w:rsidRPr="00AD55C1">
        <w:rPr>
          <w:rStyle w:val="Nadrukcursief"/>
          <w:rFonts w:ascii="Verdana" w:hAnsi="Verdana"/>
          <w:iCs w:val="0"/>
          <w:sz w:val="18"/>
          <w:szCs w:val="18"/>
        </w:rPr>
        <w:t xml:space="preserve">, </w:t>
      </w:r>
      <w:r w:rsidR="00755A67" w:rsidRPr="00AD55C1">
        <w:rPr>
          <w:rStyle w:val="Nadrukcursief"/>
          <w:rFonts w:ascii="Verdana" w:hAnsi="Verdana"/>
          <w:iCs w:val="0"/>
          <w:sz w:val="18"/>
          <w:szCs w:val="18"/>
        </w:rPr>
        <w:t>van de Implementatiewet richtlijn solvabiliteit II</w:t>
      </w:r>
      <w:r w:rsidRPr="00AD55C1">
        <w:rPr>
          <w:rStyle w:val="Nadrukcursief"/>
          <w:rFonts w:ascii="Verdana" w:hAnsi="Verdana"/>
          <w:iCs w:val="0"/>
          <w:sz w:val="18"/>
          <w:szCs w:val="18"/>
        </w:rPr>
        <w:t>)</w:t>
      </w:r>
    </w:p>
    <w:p w:rsidR="00D7782B" w:rsidRPr="00AD55C1" w:rsidRDefault="00DE131D" w:rsidP="00AD55C1">
      <w:pPr>
        <w:spacing w:line="260" w:lineRule="exact"/>
        <w:rPr>
          <w:rFonts w:ascii="Verdana" w:hAnsi="Verdana" w:cs="Verdana"/>
          <w:sz w:val="18"/>
          <w:szCs w:val="18"/>
        </w:rPr>
      </w:pPr>
      <w:r w:rsidRPr="00AD55C1">
        <w:rPr>
          <w:rStyle w:val="Nadrukcursief"/>
          <w:rFonts w:ascii="Verdana" w:hAnsi="Verdana"/>
          <w:i w:val="0"/>
          <w:iCs w:val="0"/>
          <w:sz w:val="18"/>
          <w:szCs w:val="18"/>
        </w:rPr>
        <w:t>Artikel I, onderdeel CH, betreft artikel 3:128 Wft.</w:t>
      </w:r>
      <w:r w:rsidRPr="00AD55C1">
        <w:rPr>
          <w:rFonts w:ascii="Verdana" w:hAnsi="Verdana" w:cs="Verdana"/>
          <w:bCs/>
          <w:sz w:val="18"/>
          <w:szCs w:val="18"/>
        </w:rPr>
        <w:t xml:space="preserve"> </w:t>
      </w:r>
      <w:r w:rsidR="00D7782B" w:rsidRPr="00AD55C1">
        <w:rPr>
          <w:rFonts w:ascii="Verdana" w:hAnsi="Verdana" w:cs="Verdana"/>
          <w:sz w:val="18"/>
          <w:szCs w:val="18"/>
        </w:rPr>
        <w:t>De aanpassing</w:t>
      </w:r>
      <w:r w:rsidR="002A2534" w:rsidRPr="00AD55C1">
        <w:rPr>
          <w:rFonts w:ascii="Verdana" w:hAnsi="Verdana" w:cs="Verdana"/>
          <w:sz w:val="18"/>
          <w:szCs w:val="18"/>
        </w:rPr>
        <w:t>en</w:t>
      </w:r>
      <w:r w:rsidR="00D7782B" w:rsidRPr="00AD55C1">
        <w:rPr>
          <w:rFonts w:ascii="Verdana" w:hAnsi="Verdana" w:cs="Verdana"/>
          <w:sz w:val="18"/>
          <w:szCs w:val="18"/>
        </w:rPr>
        <w:t xml:space="preserve"> beog</w:t>
      </w:r>
      <w:r w:rsidR="002A2534" w:rsidRPr="00AD55C1">
        <w:rPr>
          <w:rFonts w:ascii="Verdana" w:hAnsi="Verdana" w:cs="Verdana"/>
          <w:sz w:val="18"/>
          <w:szCs w:val="18"/>
        </w:rPr>
        <w:t>en</w:t>
      </w:r>
      <w:r w:rsidR="00D7782B" w:rsidRPr="00AD55C1">
        <w:rPr>
          <w:rFonts w:ascii="Verdana" w:hAnsi="Verdana" w:cs="Verdana"/>
          <w:sz w:val="18"/>
          <w:szCs w:val="18"/>
        </w:rPr>
        <w:t xml:space="preserve"> de door de Wijzigingswet financiële markten 2015 aangebrachte wijzigingen (</w:t>
      </w:r>
      <w:r w:rsidR="00B21996">
        <w:rPr>
          <w:rFonts w:ascii="Verdana" w:hAnsi="Verdana" w:cs="Verdana"/>
          <w:sz w:val="18"/>
          <w:szCs w:val="18"/>
        </w:rPr>
        <w:t xml:space="preserve">zie </w:t>
      </w:r>
      <w:r w:rsidR="00D7782B" w:rsidRPr="00AD55C1">
        <w:rPr>
          <w:rFonts w:ascii="Verdana" w:hAnsi="Verdana" w:cs="Verdana"/>
          <w:sz w:val="18"/>
          <w:szCs w:val="18"/>
        </w:rPr>
        <w:t>artikel I, onderde</w:t>
      </w:r>
      <w:r w:rsidR="008D1F2E">
        <w:rPr>
          <w:rFonts w:ascii="Verdana" w:hAnsi="Verdana" w:cs="Verdana"/>
          <w:sz w:val="18"/>
          <w:szCs w:val="18"/>
        </w:rPr>
        <w:t>e</w:t>
      </w:r>
      <w:r w:rsidR="00D7782B" w:rsidRPr="00AD55C1">
        <w:rPr>
          <w:rFonts w:ascii="Verdana" w:hAnsi="Verdana" w:cs="Verdana"/>
          <w:sz w:val="18"/>
          <w:szCs w:val="18"/>
        </w:rPr>
        <w:t>l</w:t>
      </w:r>
      <w:r w:rsidR="001A3EBC">
        <w:rPr>
          <w:rFonts w:ascii="Verdana" w:hAnsi="Verdana" w:cs="Verdana"/>
          <w:sz w:val="18"/>
          <w:szCs w:val="18"/>
        </w:rPr>
        <w:t xml:space="preserve"> </w:t>
      </w:r>
      <w:r w:rsidR="00D7782B" w:rsidRPr="00AD55C1">
        <w:rPr>
          <w:rFonts w:ascii="Verdana" w:hAnsi="Verdana" w:cs="Verdana"/>
          <w:sz w:val="18"/>
          <w:szCs w:val="18"/>
        </w:rPr>
        <w:t xml:space="preserve"> </w:t>
      </w:r>
      <w:r w:rsidR="002A2534" w:rsidRPr="00AD55C1">
        <w:rPr>
          <w:rFonts w:ascii="Verdana" w:hAnsi="Verdana" w:cs="Verdana"/>
          <w:sz w:val="18"/>
          <w:szCs w:val="18"/>
        </w:rPr>
        <w:t>MM</w:t>
      </w:r>
      <w:r w:rsidR="00D7782B" w:rsidRPr="00AD55C1">
        <w:rPr>
          <w:rFonts w:ascii="Verdana" w:hAnsi="Verdana" w:cs="Verdana"/>
          <w:sz w:val="18"/>
          <w:szCs w:val="18"/>
        </w:rPr>
        <w:t>) te handhaven. Zonder deze aanpassing zouden deze wijzigingen worden overschreven door de Implementatiewet richtlijn solvabiliteit II.</w:t>
      </w:r>
    </w:p>
    <w:p w:rsidR="008D1F2E" w:rsidRDefault="008D1F2E" w:rsidP="00AD55C1">
      <w:pPr>
        <w:spacing w:line="260" w:lineRule="exact"/>
        <w:rPr>
          <w:rFonts w:ascii="Verdana" w:hAnsi="Verdana"/>
          <w:sz w:val="18"/>
          <w:szCs w:val="18"/>
        </w:rPr>
      </w:pPr>
    </w:p>
    <w:p w:rsidR="008D1F2E" w:rsidRPr="00AD55C1" w:rsidRDefault="008D1F2E" w:rsidP="008D1F2E">
      <w:pPr>
        <w:spacing w:line="260" w:lineRule="exact"/>
        <w:rPr>
          <w:rFonts w:ascii="Verdana" w:hAnsi="Verdana" w:cs="Verdana"/>
          <w:bCs/>
          <w:sz w:val="18"/>
          <w:szCs w:val="18"/>
        </w:rPr>
      </w:pPr>
      <w:r w:rsidRPr="00AD55C1">
        <w:rPr>
          <w:rStyle w:val="Nadrukcursief"/>
          <w:rFonts w:ascii="Verdana" w:hAnsi="Verdana"/>
          <w:iCs w:val="0"/>
          <w:sz w:val="18"/>
          <w:szCs w:val="18"/>
        </w:rPr>
        <w:t>A, onder 6</w:t>
      </w:r>
      <w:r>
        <w:rPr>
          <w:rStyle w:val="Nadrukcursief"/>
          <w:rFonts w:ascii="Verdana" w:hAnsi="Verdana"/>
          <w:iCs w:val="0"/>
          <w:sz w:val="18"/>
          <w:szCs w:val="18"/>
        </w:rPr>
        <w:t>6</w:t>
      </w:r>
      <w:r w:rsidRPr="00AD55C1">
        <w:rPr>
          <w:rStyle w:val="Nadrukcursief"/>
          <w:rFonts w:ascii="Verdana" w:hAnsi="Verdana"/>
          <w:iCs w:val="0"/>
          <w:sz w:val="18"/>
          <w:szCs w:val="18"/>
        </w:rPr>
        <w:t xml:space="preserve"> tot en met 6</w:t>
      </w:r>
      <w:r>
        <w:rPr>
          <w:rStyle w:val="Nadrukcursief"/>
          <w:rFonts w:ascii="Verdana" w:hAnsi="Verdana"/>
          <w:iCs w:val="0"/>
          <w:sz w:val="18"/>
          <w:szCs w:val="18"/>
        </w:rPr>
        <w:t>8</w:t>
      </w:r>
      <w:r w:rsidRPr="00AD55C1">
        <w:rPr>
          <w:rStyle w:val="Nadrukcursief"/>
          <w:rFonts w:ascii="Verdana" w:hAnsi="Verdana"/>
          <w:iCs w:val="0"/>
          <w:sz w:val="18"/>
          <w:szCs w:val="18"/>
        </w:rPr>
        <w:t xml:space="preserve"> (artikel I, onderdelen CHa tot en met CHc</w:t>
      </w:r>
      <w:r>
        <w:rPr>
          <w:rStyle w:val="Nadrukcursief"/>
          <w:rFonts w:ascii="Verdana" w:hAnsi="Verdana"/>
          <w:iCs w:val="0"/>
          <w:sz w:val="18"/>
          <w:szCs w:val="18"/>
        </w:rPr>
        <w:t xml:space="preserve">, </w:t>
      </w:r>
      <w:r w:rsidRPr="00AD55C1">
        <w:rPr>
          <w:rStyle w:val="Nadrukcursief"/>
          <w:rFonts w:ascii="Verdana" w:hAnsi="Verdana"/>
          <w:iCs w:val="0"/>
          <w:sz w:val="18"/>
          <w:szCs w:val="18"/>
        </w:rPr>
        <w:t>CI</w:t>
      </w:r>
      <w:r>
        <w:rPr>
          <w:rStyle w:val="Nadrukcursief"/>
          <w:rFonts w:ascii="Verdana" w:hAnsi="Verdana"/>
          <w:iCs w:val="0"/>
          <w:sz w:val="18"/>
          <w:szCs w:val="18"/>
        </w:rPr>
        <w:t xml:space="preserve"> en CIa</w:t>
      </w:r>
      <w:r w:rsidRPr="00AD55C1">
        <w:rPr>
          <w:rStyle w:val="Nadrukcursief"/>
          <w:rFonts w:ascii="Verdana" w:hAnsi="Verdana"/>
          <w:iCs w:val="0"/>
          <w:sz w:val="18"/>
          <w:szCs w:val="18"/>
        </w:rPr>
        <w:t>, van de Implementatiewet richtlijn solvabiliteit II)</w:t>
      </w:r>
    </w:p>
    <w:p w:rsidR="002A2534" w:rsidRPr="00AD55C1" w:rsidRDefault="008D1F2E" w:rsidP="00AD55C1">
      <w:pPr>
        <w:spacing w:line="260" w:lineRule="exact"/>
        <w:rPr>
          <w:rFonts w:ascii="Verdana" w:hAnsi="Verdana"/>
          <w:sz w:val="18"/>
          <w:szCs w:val="18"/>
        </w:rPr>
      </w:pPr>
      <w:r w:rsidRPr="00AD55C1">
        <w:rPr>
          <w:rFonts w:ascii="Verdana" w:hAnsi="Verdana"/>
          <w:sz w:val="18"/>
          <w:szCs w:val="18"/>
        </w:rPr>
        <w:t xml:space="preserve">In onderdeel CHa wordt het soort verzekeraar aangegeven en </w:t>
      </w:r>
      <w:r w:rsidR="002A2534" w:rsidRPr="00AD55C1">
        <w:rPr>
          <w:rFonts w:ascii="Verdana" w:hAnsi="Verdana"/>
          <w:sz w:val="18"/>
          <w:szCs w:val="18"/>
        </w:rPr>
        <w:t xml:space="preserve">onderdeel CHb maakt de reikwijdte van de paragraaf duidelijk. Deze paragraaf heeft voortaan ook betrekking op levensverzekeraars en </w:t>
      </w:r>
      <w:r w:rsidR="00CD0B8D" w:rsidRPr="00AD55C1">
        <w:rPr>
          <w:rFonts w:ascii="Verdana" w:hAnsi="Verdana"/>
          <w:sz w:val="18"/>
          <w:szCs w:val="18"/>
        </w:rPr>
        <w:t xml:space="preserve">schadeverzekeraars </w:t>
      </w:r>
      <w:r w:rsidR="002A2534" w:rsidRPr="00AD55C1">
        <w:rPr>
          <w:rFonts w:ascii="Verdana" w:hAnsi="Verdana"/>
          <w:sz w:val="18"/>
          <w:szCs w:val="18"/>
        </w:rPr>
        <w:t>met beperkte risico</w:t>
      </w:r>
      <w:r w:rsidR="00CD0B8D" w:rsidRPr="00AD55C1">
        <w:rPr>
          <w:rFonts w:ascii="Verdana" w:hAnsi="Verdana"/>
          <w:sz w:val="18"/>
          <w:szCs w:val="18"/>
        </w:rPr>
        <w:t>-</w:t>
      </w:r>
      <w:r w:rsidR="002A2534" w:rsidRPr="00AD55C1">
        <w:rPr>
          <w:rFonts w:ascii="Verdana" w:hAnsi="Verdana"/>
          <w:sz w:val="18"/>
          <w:szCs w:val="18"/>
        </w:rPr>
        <w:t>omvang.</w:t>
      </w:r>
      <w:r w:rsidR="00CD0B8D" w:rsidRPr="00AD55C1">
        <w:rPr>
          <w:rFonts w:ascii="Verdana" w:hAnsi="Verdana"/>
          <w:sz w:val="18"/>
          <w:szCs w:val="18"/>
        </w:rPr>
        <w:t xml:space="preserve"> Dit heeft tot gevolg dat deze paragraaf moet worden aangevuld met bepalingen voor een portefeuilleoverdracht door deze verzekeraars.</w:t>
      </w:r>
    </w:p>
    <w:p w:rsidR="008D1F2E" w:rsidRPr="00AD55C1" w:rsidRDefault="002A2534" w:rsidP="008D1F2E">
      <w:pPr>
        <w:spacing w:line="260" w:lineRule="exact"/>
        <w:rPr>
          <w:rFonts w:ascii="Verdana" w:hAnsi="Verdana" w:cs="Verdana"/>
          <w:sz w:val="18"/>
          <w:szCs w:val="18"/>
        </w:rPr>
      </w:pPr>
      <w:r w:rsidRPr="00AD55C1">
        <w:rPr>
          <w:rFonts w:ascii="Verdana" w:hAnsi="Verdana"/>
          <w:sz w:val="18"/>
          <w:szCs w:val="18"/>
        </w:rPr>
        <w:t xml:space="preserve">Onderdeel CHc </w:t>
      </w:r>
      <w:r w:rsidR="00CD0B8D" w:rsidRPr="00AD55C1">
        <w:rPr>
          <w:rFonts w:ascii="Verdana" w:hAnsi="Verdana"/>
          <w:sz w:val="18"/>
          <w:szCs w:val="18"/>
        </w:rPr>
        <w:t>voorziet in die aanvulling via een bepaling voor een portefeuilleoverdracht door levensverzekeraars met beperkte risico-omvang</w:t>
      </w:r>
      <w:r w:rsidR="008D1F2E">
        <w:rPr>
          <w:rFonts w:ascii="Verdana" w:hAnsi="Verdana"/>
          <w:sz w:val="18"/>
          <w:szCs w:val="18"/>
        </w:rPr>
        <w:t xml:space="preserve"> en onderdeel CI</w:t>
      </w:r>
      <w:r w:rsidR="00C92D73">
        <w:rPr>
          <w:rFonts w:ascii="Verdana" w:hAnsi="Verdana"/>
          <w:sz w:val="18"/>
          <w:szCs w:val="18"/>
        </w:rPr>
        <w:t>a</w:t>
      </w:r>
      <w:r w:rsidR="008D1F2E" w:rsidRPr="008D1F2E">
        <w:rPr>
          <w:rFonts w:ascii="Verdana" w:hAnsi="Verdana"/>
          <w:sz w:val="18"/>
          <w:szCs w:val="18"/>
        </w:rPr>
        <w:t xml:space="preserve"> </w:t>
      </w:r>
      <w:r w:rsidR="008D1F2E" w:rsidRPr="00AD55C1">
        <w:rPr>
          <w:rFonts w:ascii="Verdana" w:hAnsi="Verdana"/>
          <w:sz w:val="18"/>
          <w:szCs w:val="18"/>
        </w:rPr>
        <w:t xml:space="preserve">voorziet in </w:t>
      </w:r>
      <w:r w:rsidR="00C92D73">
        <w:rPr>
          <w:rFonts w:ascii="Verdana" w:hAnsi="Verdana"/>
          <w:sz w:val="18"/>
          <w:szCs w:val="18"/>
        </w:rPr>
        <w:t xml:space="preserve">een </w:t>
      </w:r>
      <w:r w:rsidR="008D1F2E" w:rsidRPr="00AD55C1">
        <w:rPr>
          <w:rFonts w:ascii="Verdana" w:hAnsi="Verdana"/>
          <w:sz w:val="18"/>
          <w:szCs w:val="18"/>
        </w:rPr>
        <w:t xml:space="preserve">aanvulling via een bepaling voor een portefeuilleoverdracht door </w:t>
      </w:r>
      <w:r w:rsidR="00C92D73">
        <w:rPr>
          <w:rFonts w:ascii="Verdana" w:hAnsi="Verdana"/>
          <w:sz w:val="18"/>
          <w:szCs w:val="18"/>
        </w:rPr>
        <w:t>schadev</w:t>
      </w:r>
      <w:r w:rsidR="008D1F2E" w:rsidRPr="00AD55C1">
        <w:rPr>
          <w:rFonts w:ascii="Verdana" w:hAnsi="Verdana"/>
          <w:sz w:val="18"/>
          <w:szCs w:val="18"/>
        </w:rPr>
        <w:t>erzekeraars met beperkte risico-omvang</w:t>
      </w:r>
      <w:r w:rsidR="00CD0B8D" w:rsidRPr="00AD55C1">
        <w:rPr>
          <w:rFonts w:ascii="Verdana" w:hAnsi="Verdana"/>
          <w:sz w:val="18"/>
          <w:szCs w:val="18"/>
        </w:rPr>
        <w:t xml:space="preserve">. </w:t>
      </w:r>
      <w:r w:rsidR="008D1F2E" w:rsidRPr="00AD55C1">
        <w:rPr>
          <w:rStyle w:val="Nadrukcursief"/>
          <w:rFonts w:ascii="Verdana" w:hAnsi="Verdana"/>
          <w:i w:val="0"/>
          <w:iCs w:val="0"/>
          <w:sz w:val="18"/>
          <w:szCs w:val="18"/>
        </w:rPr>
        <w:t>Artikel I, onderdeel CI</w:t>
      </w:r>
      <w:r w:rsidR="008D1F2E">
        <w:rPr>
          <w:rStyle w:val="Nadrukcursief"/>
          <w:rFonts w:ascii="Verdana" w:hAnsi="Verdana"/>
          <w:i w:val="0"/>
          <w:iCs w:val="0"/>
          <w:sz w:val="18"/>
          <w:szCs w:val="18"/>
        </w:rPr>
        <w:t>,</w:t>
      </w:r>
      <w:r w:rsidR="008D1F2E" w:rsidRPr="00AD55C1">
        <w:rPr>
          <w:rStyle w:val="Nadrukcursief"/>
          <w:rFonts w:ascii="Verdana" w:hAnsi="Verdana"/>
          <w:i w:val="0"/>
          <w:iCs w:val="0"/>
          <w:sz w:val="18"/>
          <w:szCs w:val="18"/>
        </w:rPr>
        <w:t xml:space="preserve"> betreft artikel 3:131 Wft.</w:t>
      </w:r>
      <w:r w:rsidR="008D1F2E" w:rsidRPr="00AD55C1">
        <w:rPr>
          <w:rFonts w:ascii="Verdana" w:hAnsi="Verdana" w:cs="Verdana"/>
          <w:bCs/>
          <w:sz w:val="18"/>
          <w:szCs w:val="18"/>
        </w:rPr>
        <w:t xml:space="preserve"> </w:t>
      </w:r>
      <w:r w:rsidR="008D1F2E" w:rsidRPr="00AD55C1">
        <w:rPr>
          <w:rFonts w:ascii="Verdana" w:hAnsi="Verdana" w:cs="Verdana"/>
          <w:sz w:val="18"/>
          <w:szCs w:val="18"/>
        </w:rPr>
        <w:t>De aanpassingen beogen de door de Wijzigingswet financiële markten 2015 aangebrachte wijzigingen (</w:t>
      </w:r>
      <w:r w:rsidR="008D1F2E">
        <w:rPr>
          <w:rFonts w:ascii="Verdana" w:hAnsi="Verdana" w:cs="Verdana"/>
          <w:sz w:val="18"/>
          <w:szCs w:val="18"/>
        </w:rPr>
        <w:t xml:space="preserve">zie </w:t>
      </w:r>
      <w:r w:rsidR="008D1F2E" w:rsidRPr="00AD55C1">
        <w:rPr>
          <w:rFonts w:ascii="Verdana" w:hAnsi="Verdana" w:cs="Verdana"/>
          <w:sz w:val="18"/>
          <w:szCs w:val="18"/>
        </w:rPr>
        <w:t>artikel I, onderd</w:t>
      </w:r>
      <w:r w:rsidR="008D1F2E">
        <w:rPr>
          <w:rFonts w:ascii="Verdana" w:hAnsi="Verdana" w:cs="Verdana"/>
          <w:sz w:val="18"/>
          <w:szCs w:val="18"/>
        </w:rPr>
        <w:t>e</w:t>
      </w:r>
      <w:r w:rsidR="008D1F2E" w:rsidRPr="00AD55C1">
        <w:rPr>
          <w:rFonts w:ascii="Verdana" w:hAnsi="Verdana" w:cs="Verdana"/>
          <w:sz w:val="18"/>
          <w:szCs w:val="18"/>
        </w:rPr>
        <w:t>el MM) te handhaven. Zonder deze aanpassing zouden deze wijzigingen worden overschreven door de Implementatiewet richtlijn solvabiliteit II.</w:t>
      </w:r>
    </w:p>
    <w:p w:rsidR="00CD0B8D" w:rsidRPr="00AD55C1" w:rsidRDefault="00CD0B8D" w:rsidP="00AD55C1">
      <w:pPr>
        <w:spacing w:line="260" w:lineRule="exact"/>
        <w:rPr>
          <w:rFonts w:ascii="Verdana" w:hAnsi="Verdana"/>
          <w:sz w:val="18"/>
          <w:szCs w:val="18"/>
        </w:rPr>
      </w:pPr>
    </w:p>
    <w:p w:rsidR="00FB13D9" w:rsidRPr="00AD55C1" w:rsidRDefault="00FB13D9" w:rsidP="00AD55C1">
      <w:pPr>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w:t>
      </w:r>
      <w:r w:rsidR="005D4A8B" w:rsidRPr="00AD55C1">
        <w:rPr>
          <w:rStyle w:val="Nadrukcursief"/>
          <w:rFonts w:ascii="Verdana" w:hAnsi="Verdana"/>
          <w:iCs w:val="0"/>
          <w:sz w:val="18"/>
          <w:szCs w:val="18"/>
        </w:rPr>
        <w:t>6</w:t>
      </w:r>
      <w:r w:rsidRPr="00AD55C1">
        <w:rPr>
          <w:rStyle w:val="Nadrukcursief"/>
          <w:rFonts w:ascii="Verdana" w:hAnsi="Verdana"/>
          <w:iCs w:val="0"/>
          <w:sz w:val="18"/>
          <w:szCs w:val="18"/>
        </w:rPr>
        <w:t>9 (artikel I, onderdeel CK van de Implementatiewet richtlijn solvabiliteit II)</w:t>
      </w:r>
    </w:p>
    <w:p w:rsidR="00FB13D9" w:rsidRPr="00AD55C1" w:rsidRDefault="003167F3" w:rsidP="00AD55C1">
      <w:pPr>
        <w:spacing w:line="260" w:lineRule="exact"/>
        <w:rPr>
          <w:rFonts w:ascii="Verdana" w:hAnsi="Verdana" w:cs="Verdana"/>
          <w:bCs/>
          <w:sz w:val="18"/>
          <w:szCs w:val="18"/>
        </w:rPr>
      </w:pPr>
      <w:r>
        <w:rPr>
          <w:rStyle w:val="Nadrukcursief"/>
          <w:rFonts w:ascii="Verdana" w:hAnsi="Verdana"/>
          <w:i w:val="0"/>
          <w:iCs w:val="0"/>
          <w:sz w:val="18"/>
          <w:szCs w:val="18"/>
        </w:rPr>
        <w:t>In</w:t>
      </w:r>
      <w:r w:rsidR="00FB13D9" w:rsidRPr="00AD55C1">
        <w:rPr>
          <w:rStyle w:val="Nadrukcursief"/>
          <w:rFonts w:ascii="Verdana" w:hAnsi="Verdana"/>
          <w:i w:val="0"/>
          <w:iCs w:val="0"/>
          <w:sz w:val="18"/>
          <w:szCs w:val="18"/>
        </w:rPr>
        <w:t xml:space="preserve"> het kader van het verlichte regime op verzekeraars </w:t>
      </w:r>
      <w:r w:rsidR="005D4A8B" w:rsidRPr="00AD55C1">
        <w:rPr>
          <w:rStyle w:val="Nadrukcursief"/>
          <w:rFonts w:ascii="Verdana" w:hAnsi="Verdana"/>
          <w:i w:val="0"/>
          <w:iCs w:val="0"/>
          <w:sz w:val="18"/>
          <w:szCs w:val="18"/>
        </w:rPr>
        <w:t xml:space="preserve">met beperkte risico-omvang </w:t>
      </w:r>
      <w:r w:rsidR="00FB13D9" w:rsidRPr="00AD55C1">
        <w:rPr>
          <w:rStyle w:val="Nadrukcursief"/>
          <w:rFonts w:ascii="Verdana" w:hAnsi="Verdana"/>
          <w:i w:val="0"/>
          <w:iCs w:val="0"/>
          <w:sz w:val="18"/>
          <w:szCs w:val="18"/>
        </w:rPr>
        <w:t>wordt het instrument van een kapitaalopslag niet toegepast. De voorgestelde aanpassing voorziet hierin.</w:t>
      </w:r>
    </w:p>
    <w:p w:rsidR="00FB13D9" w:rsidRPr="00AD55C1" w:rsidRDefault="00FB13D9" w:rsidP="00AD55C1">
      <w:pPr>
        <w:spacing w:line="260" w:lineRule="exact"/>
        <w:rPr>
          <w:rStyle w:val="Nadrukcursief"/>
          <w:rFonts w:ascii="Verdana" w:hAnsi="Verdana"/>
          <w:iCs w:val="0"/>
          <w:sz w:val="18"/>
          <w:szCs w:val="18"/>
        </w:rPr>
      </w:pPr>
    </w:p>
    <w:p w:rsidR="00FB13D9" w:rsidRPr="00AD55C1" w:rsidRDefault="00FB13D9"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5D4A8B" w:rsidRPr="00AD55C1">
        <w:rPr>
          <w:rStyle w:val="Nadrukcursief"/>
          <w:rFonts w:ascii="Verdana" w:hAnsi="Verdana"/>
          <w:iCs w:val="0"/>
          <w:sz w:val="18"/>
          <w:szCs w:val="18"/>
        </w:rPr>
        <w:t>70</w:t>
      </w:r>
      <w:r w:rsidRPr="00AD55C1">
        <w:rPr>
          <w:rStyle w:val="Nadrukcursief"/>
          <w:rFonts w:ascii="Verdana" w:hAnsi="Verdana"/>
          <w:iCs w:val="0"/>
          <w:sz w:val="18"/>
          <w:szCs w:val="18"/>
        </w:rPr>
        <w:t xml:space="preserve"> (artikel I, onderdelen CKa tot en met CKc, van de Implementatiewet richtlijn solvabiliteit II)</w:t>
      </w:r>
    </w:p>
    <w:p w:rsidR="00FB13D9" w:rsidRPr="00AD55C1" w:rsidRDefault="00FB13D9" w:rsidP="00AD55C1">
      <w:pPr>
        <w:spacing w:line="260" w:lineRule="exact"/>
        <w:rPr>
          <w:rFonts w:ascii="Verdana" w:hAnsi="Verdana"/>
          <w:sz w:val="18"/>
          <w:szCs w:val="18"/>
        </w:rPr>
      </w:pPr>
      <w:r w:rsidRPr="00AD55C1">
        <w:rPr>
          <w:rFonts w:ascii="Verdana" w:hAnsi="Verdana"/>
          <w:sz w:val="18"/>
          <w:szCs w:val="18"/>
        </w:rPr>
        <w:t xml:space="preserve">Onderdeel CKa </w:t>
      </w:r>
      <w:r w:rsidR="00734DD8" w:rsidRPr="00AD55C1">
        <w:rPr>
          <w:rFonts w:ascii="Verdana" w:hAnsi="Verdana"/>
          <w:sz w:val="18"/>
          <w:szCs w:val="18"/>
        </w:rPr>
        <w:t xml:space="preserve">geeft </w:t>
      </w:r>
      <w:r w:rsidR="00B21996">
        <w:rPr>
          <w:rFonts w:ascii="Verdana" w:hAnsi="Verdana"/>
          <w:sz w:val="18"/>
          <w:szCs w:val="18"/>
        </w:rPr>
        <w:t xml:space="preserve">aan welke </w:t>
      </w:r>
      <w:r w:rsidRPr="00AD55C1">
        <w:rPr>
          <w:rFonts w:ascii="Verdana" w:hAnsi="Verdana"/>
          <w:sz w:val="18"/>
          <w:szCs w:val="18"/>
        </w:rPr>
        <w:t>soort verzekeraar</w:t>
      </w:r>
      <w:r w:rsidR="00C92D73">
        <w:rPr>
          <w:rFonts w:ascii="Verdana" w:hAnsi="Verdana"/>
          <w:sz w:val="18"/>
          <w:szCs w:val="18"/>
        </w:rPr>
        <w:t>s</w:t>
      </w:r>
      <w:r w:rsidRPr="00AD55C1">
        <w:rPr>
          <w:rFonts w:ascii="Verdana" w:hAnsi="Verdana"/>
          <w:sz w:val="18"/>
          <w:szCs w:val="18"/>
        </w:rPr>
        <w:t xml:space="preserve"> </w:t>
      </w:r>
      <w:r w:rsidR="00B21996">
        <w:rPr>
          <w:rFonts w:ascii="Verdana" w:hAnsi="Verdana"/>
          <w:sz w:val="18"/>
          <w:szCs w:val="18"/>
        </w:rPr>
        <w:t xml:space="preserve">het </w:t>
      </w:r>
      <w:r w:rsidR="003167F3">
        <w:rPr>
          <w:rFonts w:ascii="Verdana" w:hAnsi="Verdana"/>
          <w:sz w:val="18"/>
          <w:szCs w:val="18"/>
        </w:rPr>
        <w:t>betreft</w:t>
      </w:r>
      <w:r w:rsidR="003167F3" w:rsidRPr="00AD55C1">
        <w:rPr>
          <w:rFonts w:ascii="Verdana" w:hAnsi="Verdana"/>
          <w:sz w:val="18"/>
          <w:szCs w:val="18"/>
        </w:rPr>
        <w:t xml:space="preserve">. </w:t>
      </w:r>
    </w:p>
    <w:p w:rsidR="00FB13D9" w:rsidRPr="00AD55C1" w:rsidRDefault="00DE4B31" w:rsidP="00AD55C1">
      <w:pPr>
        <w:spacing w:line="260" w:lineRule="exact"/>
        <w:rPr>
          <w:rFonts w:ascii="Verdana" w:hAnsi="Verdana"/>
          <w:sz w:val="18"/>
          <w:szCs w:val="18"/>
        </w:rPr>
      </w:pPr>
      <w:r w:rsidRPr="00AD55C1">
        <w:rPr>
          <w:rFonts w:ascii="Verdana" w:hAnsi="Verdana"/>
          <w:sz w:val="18"/>
          <w:szCs w:val="18"/>
        </w:rPr>
        <w:t xml:space="preserve">In onderdeel </w:t>
      </w:r>
      <w:r w:rsidR="00FB13D9" w:rsidRPr="00AD55C1">
        <w:rPr>
          <w:rFonts w:ascii="Verdana" w:hAnsi="Verdana"/>
          <w:sz w:val="18"/>
          <w:szCs w:val="18"/>
        </w:rPr>
        <w:t>C</w:t>
      </w:r>
      <w:r w:rsidRPr="00AD55C1">
        <w:rPr>
          <w:rFonts w:ascii="Verdana" w:hAnsi="Verdana"/>
          <w:sz w:val="18"/>
          <w:szCs w:val="18"/>
        </w:rPr>
        <w:t>K</w:t>
      </w:r>
      <w:r w:rsidR="00FB13D9" w:rsidRPr="00AD55C1">
        <w:rPr>
          <w:rFonts w:ascii="Verdana" w:hAnsi="Verdana"/>
          <w:sz w:val="18"/>
          <w:szCs w:val="18"/>
        </w:rPr>
        <w:t xml:space="preserve">b </w:t>
      </w:r>
      <w:r w:rsidRPr="00AD55C1">
        <w:rPr>
          <w:rFonts w:ascii="Verdana" w:hAnsi="Verdana"/>
          <w:sz w:val="18"/>
          <w:szCs w:val="18"/>
        </w:rPr>
        <w:t xml:space="preserve">is het opschrift in lijn gebracht met </w:t>
      </w:r>
      <w:r w:rsidR="003167F3" w:rsidRPr="00AD55C1">
        <w:rPr>
          <w:rFonts w:ascii="Verdana" w:hAnsi="Verdana"/>
          <w:sz w:val="18"/>
          <w:szCs w:val="18"/>
        </w:rPr>
        <w:t xml:space="preserve">de </w:t>
      </w:r>
      <w:r w:rsidR="00C92D73">
        <w:rPr>
          <w:rFonts w:ascii="Verdana" w:hAnsi="Verdana"/>
          <w:sz w:val="18"/>
          <w:szCs w:val="18"/>
        </w:rPr>
        <w:t xml:space="preserve">door onderdeel CKc gewijzigde </w:t>
      </w:r>
      <w:r w:rsidRPr="00AD55C1">
        <w:rPr>
          <w:rFonts w:ascii="Verdana" w:hAnsi="Verdana"/>
          <w:sz w:val="18"/>
          <w:szCs w:val="18"/>
        </w:rPr>
        <w:t xml:space="preserve">reikwijdte van </w:t>
      </w:r>
      <w:r w:rsidR="003167F3" w:rsidRPr="00AD55C1">
        <w:rPr>
          <w:rFonts w:ascii="Verdana" w:hAnsi="Verdana"/>
          <w:sz w:val="18"/>
          <w:szCs w:val="18"/>
        </w:rPr>
        <w:t xml:space="preserve">artikel </w:t>
      </w:r>
      <w:r w:rsidRPr="00AD55C1">
        <w:rPr>
          <w:rFonts w:ascii="Verdana" w:hAnsi="Verdana"/>
          <w:sz w:val="18"/>
          <w:szCs w:val="18"/>
        </w:rPr>
        <w:t xml:space="preserve">3:134. </w:t>
      </w:r>
    </w:p>
    <w:p w:rsidR="00DE4B31" w:rsidRPr="00AD55C1" w:rsidRDefault="00DE4B31" w:rsidP="00AD55C1">
      <w:pPr>
        <w:spacing w:line="260" w:lineRule="exact"/>
        <w:rPr>
          <w:rFonts w:ascii="Verdana" w:hAnsi="Verdana" w:cs="Verdana"/>
          <w:bCs/>
          <w:sz w:val="18"/>
          <w:szCs w:val="18"/>
        </w:rPr>
      </w:pPr>
      <w:r w:rsidRPr="00AD55C1">
        <w:rPr>
          <w:rStyle w:val="Nadrukcursief"/>
          <w:rFonts w:ascii="Verdana" w:hAnsi="Verdana"/>
          <w:i w:val="0"/>
          <w:iCs w:val="0"/>
          <w:sz w:val="18"/>
          <w:szCs w:val="18"/>
        </w:rPr>
        <w:t xml:space="preserve">Voorgesteld wordt de reikwijdte van artikel 3:134 van de Wft te beperken tot herverzekeraars. Immers, in het kader van het verlichte regime </w:t>
      </w:r>
      <w:r w:rsidR="00C92D73">
        <w:rPr>
          <w:rStyle w:val="Nadrukcursief"/>
          <w:rFonts w:ascii="Verdana" w:hAnsi="Verdana"/>
          <w:i w:val="0"/>
          <w:iCs w:val="0"/>
          <w:sz w:val="18"/>
          <w:szCs w:val="18"/>
        </w:rPr>
        <w:t xml:space="preserve">voor </w:t>
      </w:r>
      <w:r w:rsidRPr="00AD55C1">
        <w:rPr>
          <w:rStyle w:val="Nadrukcursief"/>
          <w:rFonts w:ascii="Verdana" w:hAnsi="Verdana"/>
          <w:i w:val="0"/>
          <w:iCs w:val="0"/>
          <w:sz w:val="18"/>
          <w:szCs w:val="18"/>
        </w:rPr>
        <w:t>verzekeraars met beperkte risico-omvang is het instrument van een kapitaalopslag niet passend. De voorgestelde aanpassing voorziet hierin.</w:t>
      </w:r>
    </w:p>
    <w:p w:rsidR="00FB13D9" w:rsidRPr="00AD55C1" w:rsidRDefault="00FB13D9" w:rsidP="00AD55C1">
      <w:pPr>
        <w:spacing w:line="260" w:lineRule="exact"/>
        <w:rPr>
          <w:rStyle w:val="Nadrukcursief"/>
          <w:rFonts w:ascii="Verdana" w:hAnsi="Verdana"/>
          <w:iCs w:val="0"/>
          <w:sz w:val="18"/>
          <w:szCs w:val="18"/>
        </w:rPr>
      </w:pPr>
    </w:p>
    <w:p w:rsidR="004813E8" w:rsidRPr="00AD55C1" w:rsidRDefault="000A7E28" w:rsidP="00AD55C1">
      <w:pPr>
        <w:spacing w:line="260" w:lineRule="exact"/>
        <w:rPr>
          <w:rFonts w:ascii="Verdana" w:hAnsi="Verdana" w:cs="Verdana"/>
          <w:bCs/>
          <w:i/>
          <w:sz w:val="18"/>
          <w:szCs w:val="18"/>
        </w:rPr>
      </w:pPr>
      <w:r w:rsidRPr="00AD55C1">
        <w:rPr>
          <w:rFonts w:ascii="Verdana" w:hAnsi="Verdana" w:cs="Verdana"/>
          <w:bCs/>
          <w:i/>
          <w:sz w:val="18"/>
          <w:szCs w:val="18"/>
        </w:rPr>
        <w:t xml:space="preserve">A, </w:t>
      </w:r>
      <w:r w:rsidR="004813E8" w:rsidRPr="00AD55C1">
        <w:rPr>
          <w:rFonts w:ascii="Verdana" w:hAnsi="Verdana" w:cs="Verdana"/>
          <w:bCs/>
          <w:i/>
          <w:sz w:val="18"/>
          <w:szCs w:val="18"/>
        </w:rPr>
        <w:t>onderdel</w:t>
      </w:r>
      <w:r w:rsidR="00181970" w:rsidRPr="00AD55C1">
        <w:rPr>
          <w:rFonts w:ascii="Verdana" w:hAnsi="Verdana" w:cs="Verdana"/>
          <w:bCs/>
          <w:i/>
          <w:sz w:val="18"/>
          <w:szCs w:val="18"/>
        </w:rPr>
        <w:t>en</w:t>
      </w:r>
      <w:r w:rsidR="007939BD" w:rsidRPr="00AD55C1">
        <w:rPr>
          <w:rFonts w:ascii="Verdana" w:hAnsi="Verdana" w:cs="Verdana"/>
          <w:bCs/>
          <w:i/>
          <w:sz w:val="18"/>
          <w:szCs w:val="18"/>
        </w:rPr>
        <w:t xml:space="preserve"> </w:t>
      </w:r>
      <w:r w:rsidR="00DE4B31" w:rsidRPr="00AD55C1">
        <w:rPr>
          <w:rFonts w:ascii="Verdana" w:hAnsi="Verdana" w:cs="Verdana"/>
          <w:bCs/>
          <w:i/>
          <w:sz w:val="18"/>
          <w:szCs w:val="18"/>
        </w:rPr>
        <w:t>71</w:t>
      </w:r>
      <w:r w:rsidR="00181970" w:rsidRPr="00AD55C1">
        <w:rPr>
          <w:rFonts w:ascii="Verdana" w:hAnsi="Verdana" w:cs="Verdana"/>
          <w:bCs/>
          <w:i/>
          <w:sz w:val="18"/>
          <w:szCs w:val="18"/>
        </w:rPr>
        <w:t xml:space="preserve"> en 72</w:t>
      </w:r>
      <w:r w:rsidR="007939BD" w:rsidRPr="00AD55C1">
        <w:rPr>
          <w:rFonts w:ascii="Verdana" w:hAnsi="Verdana" w:cs="Verdana"/>
          <w:bCs/>
          <w:i/>
          <w:sz w:val="18"/>
          <w:szCs w:val="18"/>
        </w:rPr>
        <w:t xml:space="preserve"> </w:t>
      </w:r>
      <w:r w:rsidR="004813E8" w:rsidRPr="00AD55C1">
        <w:rPr>
          <w:rFonts w:ascii="Verdana" w:hAnsi="Verdana" w:cs="Verdana"/>
          <w:bCs/>
          <w:i/>
          <w:sz w:val="18"/>
          <w:szCs w:val="18"/>
        </w:rPr>
        <w:t>(artikel I, onderdeel CM, van de Implementatiewet richtlijn solvabiliteit II</w:t>
      </w:r>
    </w:p>
    <w:p w:rsidR="00DE4B31" w:rsidRPr="00AD55C1" w:rsidRDefault="00DE131D" w:rsidP="00AD55C1">
      <w:pPr>
        <w:spacing w:line="260" w:lineRule="exact"/>
        <w:rPr>
          <w:rFonts w:ascii="Verdana" w:hAnsi="Verdana" w:cs="Verdana"/>
          <w:bCs/>
          <w:sz w:val="18"/>
          <w:szCs w:val="18"/>
        </w:rPr>
      </w:pPr>
      <w:r w:rsidRPr="00AD55C1">
        <w:rPr>
          <w:rFonts w:ascii="Verdana" w:hAnsi="Verdana" w:cs="Verdana"/>
          <w:bCs/>
          <w:sz w:val="18"/>
          <w:szCs w:val="18"/>
        </w:rPr>
        <w:t xml:space="preserve">Artikel I, onderdeel CM, van de Implementatiewet richtlijn solvabiliteit II betreft artikel 3:135 Wft. </w:t>
      </w:r>
      <w:r w:rsidR="00DE4B31" w:rsidRPr="00AD55C1">
        <w:rPr>
          <w:rFonts w:ascii="Verdana" w:hAnsi="Verdana" w:cs="Verdana"/>
          <w:bCs/>
          <w:sz w:val="18"/>
          <w:szCs w:val="18"/>
        </w:rPr>
        <w:t xml:space="preserve">In </w:t>
      </w:r>
      <w:r w:rsidR="00066E9D">
        <w:rPr>
          <w:rFonts w:ascii="Verdana" w:hAnsi="Verdana" w:cs="Verdana"/>
          <w:bCs/>
          <w:sz w:val="18"/>
          <w:szCs w:val="18"/>
        </w:rPr>
        <w:t xml:space="preserve">het </w:t>
      </w:r>
      <w:r w:rsidR="00DE4B31" w:rsidRPr="00AD55C1">
        <w:rPr>
          <w:rFonts w:ascii="Verdana" w:hAnsi="Verdana" w:cs="Verdana"/>
          <w:bCs/>
          <w:sz w:val="18"/>
          <w:szCs w:val="18"/>
        </w:rPr>
        <w:t>eerste lid</w:t>
      </w:r>
      <w:r w:rsidR="00181970" w:rsidRPr="00AD55C1">
        <w:rPr>
          <w:rFonts w:ascii="Verdana" w:hAnsi="Verdana" w:cs="Verdana"/>
          <w:bCs/>
          <w:sz w:val="18"/>
          <w:szCs w:val="18"/>
        </w:rPr>
        <w:t xml:space="preserve"> </w:t>
      </w:r>
      <w:r w:rsidR="00734DD8" w:rsidRPr="00AD55C1">
        <w:rPr>
          <w:rFonts w:ascii="Verdana" w:hAnsi="Verdana" w:cs="Verdana"/>
          <w:bCs/>
          <w:sz w:val="18"/>
          <w:szCs w:val="18"/>
        </w:rPr>
        <w:t xml:space="preserve">wordt </w:t>
      </w:r>
      <w:r w:rsidR="00734DD8" w:rsidRPr="00AD55C1">
        <w:rPr>
          <w:rFonts w:ascii="Verdana" w:hAnsi="Verdana"/>
          <w:sz w:val="18"/>
          <w:szCs w:val="18"/>
        </w:rPr>
        <w:t>aangegeven</w:t>
      </w:r>
      <w:r w:rsidR="00734DD8" w:rsidRPr="00AD55C1">
        <w:rPr>
          <w:rFonts w:ascii="Verdana" w:hAnsi="Verdana" w:cs="Verdana"/>
          <w:bCs/>
          <w:sz w:val="18"/>
          <w:szCs w:val="18"/>
        </w:rPr>
        <w:t xml:space="preserve"> </w:t>
      </w:r>
      <w:r w:rsidR="00DE4B31" w:rsidRPr="00AD55C1">
        <w:rPr>
          <w:rFonts w:ascii="Verdana" w:hAnsi="Verdana" w:cs="Verdana"/>
          <w:bCs/>
          <w:sz w:val="18"/>
          <w:szCs w:val="18"/>
        </w:rPr>
        <w:t xml:space="preserve">welke </w:t>
      </w:r>
      <w:r w:rsidR="00C92D73">
        <w:rPr>
          <w:rFonts w:ascii="Verdana" w:hAnsi="Verdana" w:cs="Verdana"/>
          <w:bCs/>
          <w:sz w:val="18"/>
          <w:szCs w:val="18"/>
        </w:rPr>
        <w:t xml:space="preserve">soort </w:t>
      </w:r>
      <w:r w:rsidR="00DE4B31" w:rsidRPr="00AD55C1">
        <w:rPr>
          <w:rFonts w:ascii="Verdana" w:hAnsi="Verdana" w:cs="Verdana"/>
          <w:bCs/>
          <w:sz w:val="18"/>
          <w:szCs w:val="18"/>
        </w:rPr>
        <w:t>verzekeraars het betreft.</w:t>
      </w:r>
    </w:p>
    <w:p w:rsidR="00817177" w:rsidRPr="00AD55C1" w:rsidRDefault="00817177" w:rsidP="00AD55C1">
      <w:pPr>
        <w:spacing w:line="260" w:lineRule="exact"/>
        <w:rPr>
          <w:rFonts w:ascii="Verdana" w:hAnsi="Verdana" w:cs="Verdana"/>
          <w:bCs/>
          <w:sz w:val="18"/>
          <w:szCs w:val="18"/>
        </w:rPr>
      </w:pPr>
      <w:r w:rsidRPr="00AD55C1">
        <w:rPr>
          <w:rFonts w:ascii="Verdana" w:hAnsi="Verdana" w:cs="Verdana"/>
          <w:bCs/>
          <w:sz w:val="18"/>
          <w:szCs w:val="18"/>
        </w:rPr>
        <w:lastRenderedPageBreak/>
        <w:t xml:space="preserve">Met </w:t>
      </w:r>
      <w:r w:rsidR="00DC041A" w:rsidRPr="00AD55C1">
        <w:rPr>
          <w:rFonts w:ascii="Verdana" w:hAnsi="Verdana" w:cs="Verdana"/>
          <w:bCs/>
          <w:sz w:val="18"/>
          <w:szCs w:val="18"/>
        </w:rPr>
        <w:t xml:space="preserve">artikel 2, </w:t>
      </w:r>
      <w:r w:rsidR="00851374" w:rsidRPr="00AD55C1">
        <w:rPr>
          <w:rFonts w:ascii="Verdana" w:hAnsi="Verdana" w:cs="Verdana"/>
          <w:bCs/>
          <w:sz w:val="18"/>
          <w:szCs w:val="18"/>
        </w:rPr>
        <w:t>onderdelen</w:t>
      </w:r>
      <w:r w:rsidR="00DC041A" w:rsidRPr="00AD55C1">
        <w:rPr>
          <w:rFonts w:ascii="Verdana" w:hAnsi="Verdana" w:cs="Verdana"/>
          <w:bCs/>
          <w:sz w:val="18"/>
          <w:szCs w:val="18"/>
        </w:rPr>
        <w:t xml:space="preserve"> </w:t>
      </w:r>
      <w:r w:rsidR="004813E8" w:rsidRPr="00AD55C1">
        <w:rPr>
          <w:rFonts w:ascii="Verdana" w:hAnsi="Verdana" w:cs="Verdana"/>
          <w:bCs/>
          <w:sz w:val="18"/>
          <w:szCs w:val="18"/>
        </w:rPr>
        <w:t>36 en 37</w:t>
      </w:r>
      <w:r w:rsidR="00C92D73">
        <w:rPr>
          <w:rFonts w:ascii="Verdana" w:hAnsi="Verdana" w:cs="Verdana"/>
          <w:bCs/>
          <w:sz w:val="18"/>
          <w:szCs w:val="18"/>
        </w:rPr>
        <w:t>,</w:t>
      </w:r>
      <w:r w:rsidR="004813E8" w:rsidRPr="00AD55C1">
        <w:rPr>
          <w:rFonts w:ascii="Verdana" w:hAnsi="Verdana" w:cs="Verdana"/>
          <w:bCs/>
          <w:sz w:val="18"/>
          <w:szCs w:val="18"/>
        </w:rPr>
        <w:t xml:space="preserve"> van de </w:t>
      </w:r>
      <w:r w:rsidR="00137ECF" w:rsidRPr="00AD55C1">
        <w:rPr>
          <w:rFonts w:ascii="Verdana" w:hAnsi="Verdana" w:cs="Verdana"/>
          <w:bCs/>
          <w:sz w:val="18"/>
          <w:szCs w:val="18"/>
        </w:rPr>
        <w:t>Omnibus II-richtlijn</w:t>
      </w:r>
      <w:r w:rsidR="004813E8" w:rsidRPr="00AD55C1">
        <w:rPr>
          <w:rFonts w:ascii="Verdana" w:hAnsi="Verdana" w:cs="Verdana"/>
          <w:bCs/>
          <w:sz w:val="18"/>
          <w:szCs w:val="18"/>
        </w:rPr>
        <w:t xml:space="preserve"> </w:t>
      </w:r>
      <w:r w:rsidRPr="00AD55C1">
        <w:rPr>
          <w:rFonts w:ascii="Verdana" w:hAnsi="Verdana" w:cs="Verdana"/>
          <w:bCs/>
          <w:sz w:val="18"/>
          <w:szCs w:val="18"/>
        </w:rPr>
        <w:t>z</w:t>
      </w:r>
      <w:r w:rsidR="00584CE2" w:rsidRPr="00AD55C1">
        <w:rPr>
          <w:rFonts w:ascii="Verdana" w:hAnsi="Verdana" w:cs="Verdana"/>
          <w:bCs/>
          <w:sz w:val="18"/>
          <w:szCs w:val="18"/>
        </w:rPr>
        <w:t>ijn de artikelen 138</w:t>
      </w:r>
      <w:r w:rsidRPr="00AD55C1">
        <w:rPr>
          <w:rFonts w:ascii="Verdana" w:hAnsi="Verdana" w:cs="Verdana"/>
          <w:bCs/>
          <w:sz w:val="18"/>
          <w:szCs w:val="18"/>
        </w:rPr>
        <w:t xml:space="preserve"> (nieuw vierde lid)</w:t>
      </w:r>
      <w:r w:rsidR="00584CE2" w:rsidRPr="00AD55C1">
        <w:rPr>
          <w:rFonts w:ascii="Verdana" w:hAnsi="Verdana" w:cs="Verdana"/>
          <w:bCs/>
          <w:sz w:val="18"/>
          <w:szCs w:val="18"/>
        </w:rPr>
        <w:t xml:space="preserve"> en </w:t>
      </w:r>
      <w:r w:rsidRPr="00AD55C1">
        <w:rPr>
          <w:rFonts w:ascii="Verdana" w:hAnsi="Verdana" w:cs="Verdana"/>
          <w:bCs/>
          <w:sz w:val="18"/>
          <w:szCs w:val="18"/>
        </w:rPr>
        <w:t>143 van de richtlijn solvabiliteit II gewijzigd.</w:t>
      </w:r>
    </w:p>
    <w:p w:rsidR="004813E8" w:rsidRPr="00AD55C1" w:rsidRDefault="00817177" w:rsidP="00AD55C1">
      <w:pPr>
        <w:spacing w:line="260" w:lineRule="exact"/>
        <w:rPr>
          <w:rFonts w:ascii="Verdana" w:hAnsi="Verdana" w:cs="Verdana"/>
          <w:bCs/>
          <w:sz w:val="18"/>
          <w:szCs w:val="18"/>
        </w:rPr>
      </w:pPr>
      <w:r w:rsidRPr="00AD55C1">
        <w:rPr>
          <w:rFonts w:ascii="Verdana" w:hAnsi="Verdana" w:cs="Verdana"/>
          <w:bCs/>
          <w:sz w:val="18"/>
          <w:szCs w:val="18"/>
        </w:rPr>
        <w:t xml:space="preserve">Naar aanleiding daarvan </w:t>
      </w:r>
      <w:r w:rsidR="00AD3B3B" w:rsidRPr="00AD55C1">
        <w:rPr>
          <w:rFonts w:ascii="Verdana" w:hAnsi="Verdana" w:cs="Verdana"/>
          <w:bCs/>
          <w:sz w:val="18"/>
          <w:szCs w:val="18"/>
        </w:rPr>
        <w:t xml:space="preserve">wordt </w:t>
      </w:r>
      <w:r w:rsidRPr="00AD55C1">
        <w:rPr>
          <w:rFonts w:ascii="Verdana" w:hAnsi="Verdana" w:cs="Verdana"/>
          <w:bCs/>
          <w:sz w:val="18"/>
          <w:szCs w:val="18"/>
        </w:rPr>
        <w:t>ook</w:t>
      </w:r>
      <w:r w:rsidR="004813E8" w:rsidRPr="00AD55C1">
        <w:rPr>
          <w:rFonts w:ascii="Verdana" w:hAnsi="Verdana" w:cs="Verdana"/>
          <w:bCs/>
          <w:sz w:val="18"/>
          <w:szCs w:val="18"/>
        </w:rPr>
        <w:t xml:space="preserve"> artikel I, onderdeel CM, van de Implementatiewet richtlijn solvabiliteit II aangepast. In onderdeel CM </w:t>
      </w:r>
      <w:r w:rsidR="008551CC">
        <w:rPr>
          <w:rFonts w:ascii="Verdana" w:hAnsi="Verdana" w:cs="Verdana"/>
          <w:bCs/>
          <w:sz w:val="18"/>
          <w:szCs w:val="18"/>
        </w:rPr>
        <w:t>i</w:t>
      </w:r>
      <w:r w:rsidR="004813E8" w:rsidRPr="00AD55C1">
        <w:rPr>
          <w:rFonts w:ascii="Verdana" w:hAnsi="Verdana" w:cs="Verdana"/>
          <w:bCs/>
          <w:sz w:val="18"/>
          <w:szCs w:val="18"/>
        </w:rPr>
        <w:t xml:space="preserve">s artikel 3:135 van de Wet op het financieel toezicht opgenomen. Naar aanleiding van </w:t>
      </w:r>
      <w:r w:rsidR="00584CE2" w:rsidRPr="00AD55C1">
        <w:rPr>
          <w:rFonts w:ascii="Verdana" w:hAnsi="Verdana" w:cs="Verdana"/>
          <w:bCs/>
          <w:sz w:val="18"/>
          <w:szCs w:val="18"/>
        </w:rPr>
        <w:t xml:space="preserve">het </w:t>
      </w:r>
      <w:r w:rsidR="004813E8" w:rsidRPr="00AD55C1">
        <w:rPr>
          <w:rFonts w:ascii="Verdana" w:hAnsi="Verdana" w:cs="Verdana"/>
          <w:bCs/>
          <w:sz w:val="18"/>
          <w:szCs w:val="18"/>
        </w:rPr>
        <w:t xml:space="preserve">voornoemde </w:t>
      </w:r>
      <w:r w:rsidR="00584CE2" w:rsidRPr="00AD55C1">
        <w:rPr>
          <w:rFonts w:ascii="Verdana" w:hAnsi="Verdana" w:cs="Verdana"/>
          <w:bCs/>
          <w:sz w:val="18"/>
          <w:szCs w:val="18"/>
        </w:rPr>
        <w:t>artikel 2, onderdelen</w:t>
      </w:r>
      <w:r w:rsidR="004813E8" w:rsidRPr="00AD55C1">
        <w:rPr>
          <w:rFonts w:ascii="Verdana" w:hAnsi="Verdana" w:cs="Verdana"/>
          <w:bCs/>
          <w:sz w:val="18"/>
          <w:szCs w:val="18"/>
        </w:rPr>
        <w:t xml:space="preserve"> 36 en 37, </w:t>
      </w:r>
      <w:r w:rsidR="00095B4F" w:rsidRPr="00AD55C1">
        <w:rPr>
          <w:rFonts w:ascii="Verdana" w:hAnsi="Verdana" w:cs="Verdana"/>
          <w:bCs/>
          <w:sz w:val="18"/>
          <w:szCs w:val="18"/>
        </w:rPr>
        <w:t>i</w:t>
      </w:r>
      <w:r w:rsidR="004813E8" w:rsidRPr="00AD55C1">
        <w:rPr>
          <w:rFonts w:ascii="Verdana" w:hAnsi="Verdana" w:cs="Verdana"/>
          <w:bCs/>
          <w:sz w:val="18"/>
          <w:szCs w:val="18"/>
        </w:rPr>
        <w:t xml:space="preserve">s het nodig het vijfde lid van dit artikel aan te passen. </w:t>
      </w:r>
      <w:r w:rsidR="00977DD1">
        <w:rPr>
          <w:rFonts w:ascii="Verdana" w:hAnsi="Verdana" w:cs="Verdana"/>
          <w:bCs/>
          <w:sz w:val="18"/>
          <w:szCs w:val="18"/>
        </w:rPr>
        <w:t>D</w:t>
      </w:r>
      <w:r w:rsidR="00C03170" w:rsidRPr="00AD55C1">
        <w:rPr>
          <w:rFonts w:ascii="Verdana" w:hAnsi="Verdana" w:cs="Verdana"/>
          <w:bCs/>
          <w:sz w:val="18"/>
          <w:szCs w:val="18"/>
        </w:rPr>
        <w:t xml:space="preserve">e wijziging </w:t>
      </w:r>
      <w:r w:rsidR="00977DD1">
        <w:rPr>
          <w:rFonts w:ascii="Verdana" w:hAnsi="Verdana" w:cs="Verdana"/>
          <w:bCs/>
          <w:sz w:val="18"/>
          <w:szCs w:val="18"/>
        </w:rPr>
        <w:t xml:space="preserve">houdt </w:t>
      </w:r>
      <w:r w:rsidR="00C03170" w:rsidRPr="00AD55C1">
        <w:rPr>
          <w:rFonts w:ascii="Verdana" w:hAnsi="Verdana" w:cs="Verdana"/>
          <w:bCs/>
          <w:sz w:val="18"/>
          <w:szCs w:val="18"/>
        </w:rPr>
        <w:t>in dat</w:t>
      </w:r>
      <w:r w:rsidR="004813E8" w:rsidRPr="00AD55C1">
        <w:rPr>
          <w:rFonts w:ascii="Verdana" w:hAnsi="Verdana" w:cs="Verdana"/>
          <w:bCs/>
          <w:sz w:val="18"/>
          <w:szCs w:val="18"/>
        </w:rPr>
        <w:t xml:space="preserve"> de uitzonderlijke ongunstige omstandigheden die nader uitstel rechtvaardigen van het op peil brengen door de betrokken verzekeraar van zijn eigen vermogen</w:t>
      </w:r>
      <w:r w:rsidR="00C03170" w:rsidRPr="00AD55C1">
        <w:rPr>
          <w:rFonts w:ascii="Verdana" w:hAnsi="Verdana" w:cs="Verdana"/>
          <w:bCs/>
          <w:sz w:val="18"/>
          <w:szCs w:val="18"/>
        </w:rPr>
        <w:t>,</w:t>
      </w:r>
      <w:r w:rsidR="004813E8" w:rsidRPr="00AD55C1">
        <w:rPr>
          <w:rFonts w:ascii="Verdana" w:hAnsi="Verdana" w:cs="Verdana"/>
          <w:bCs/>
          <w:sz w:val="18"/>
          <w:szCs w:val="18"/>
        </w:rPr>
        <w:t xml:space="preserve"> zijn uitgebreid. Niet alleen is een onvoorziene en forse koersdaling op de financiële markten zo’n omstandigheid, ook een aanhoudend lage rentevoet of een rampzalige gebeurtenis met grote gevolgen, kan kwalificeren als zo’n uitzonderlijke ongunstige omstandigheid (artikel 138, vierde lid (nieuw)</w:t>
      </w:r>
      <w:r w:rsidRPr="00AD55C1">
        <w:rPr>
          <w:rFonts w:ascii="Verdana" w:hAnsi="Verdana" w:cs="Verdana"/>
          <w:bCs/>
          <w:sz w:val="18"/>
          <w:szCs w:val="18"/>
        </w:rPr>
        <w:t xml:space="preserve"> van de richtlijn solvabiliteit II</w:t>
      </w:r>
      <w:r w:rsidR="004813E8" w:rsidRPr="00AD55C1">
        <w:rPr>
          <w:rFonts w:ascii="Verdana" w:hAnsi="Verdana" w:cs="Verdana"/>
          <w:bCs/>
          <w:sz w:val="18"/>
          <w:szCs w:val="18"/>
        </w:rPr>
        <w:t>)</w:t>
      </w:r>
      <w:r w:rsidR="004913AF" w:rsidRPr="00AD55C1">
        <w:rPr>
          <w:rFonts w:ascii="Verdana" w:hAnsi="Verdana" w:cs="Verdana"/>
          <w:bCs/>
          <w:sz w:val="18"/>
          <w:szCs w:val="18"/>
        </w:rPr>
        <w:t>.</w:t>
      </w:r>
    </w:p>
    <w:p w:rsidR="00F47A16" w:rsidRPr="00AD55C1" w:rsidRDefault="00F47A16" w:rsidP="00AD55C1">
      <w:pPr>
        <w:spacing w:line="260" w:lineRule="exact"/>
        <w:rPr>
          <w:rFonts w:ascii="Verdana" w:hAnsi="Verdana" w:cs="Verdana"/>
          <w:bCs/>
          <w:sz w:val="18"/>
          <w:szCs w:val="18"/>
        </w:rPr>
      </w:pPr>
      <w:r w:rsidRPr="00AD55C1">
        <w:rPr>
          <w:rFonts w:ascii="Verdana" w:hAnsi="Verdana" w:cs="Arial"/>
          <w:sz w:val="18"/>
          <w:szCs w:val="18"/>
        </w:rPr>
        <w:t xml:space="preserve">EIOPA bepaalt wanneer er sprake is van uitzonderlijke ongunstige omstandigheden. De Europese Commissie zal gedelegeerde handelingen vaststellen waarin wordt aangegeven met welke factoren en criteria hierbij rekening moet worden gehouden. De Commissie kan tevens via de gedelegeerde handelingen de soorten uitzonderlijk ongunstige omstandigheden aanvullen, in aanvulling op de omstandigheden die reeds in de richtlijn genoemd worden. </w:t>
      </w:r>
      <w:r w:rsidR="00B3611E" w:rsidRPr="00AD55C1">
        <w:rPr>
          <w:rFonts w:ascii="Verdana" w:hAnsi="Verdana" w:cs="Arial"/>
          <w:sz w:val="18"/>
          <w:szCs w:val="18"/>
        </w:rPr>
        <w:t xml:space="preserve">Voor zover nu bekend, wordt </w:t>
      </w:r>
      <w:r w:rsidRPr="00AD55C1">
        <w:rPr>
          <w:rFonts w:ascii="Verdana" w:hAnsi="Verdana" w:cs="Arial"/>
          <w:sz w:val="18"/>
          <w:szCs w:val="18"/>
        </w:rPr>
        <w:t xml:space="preserve">geen verdere invulling </w:t>
      </w:r>
      <w:r w:rsidR="0006134B" w:rsidRPr="00AD55C1">
        <w:rPr>
          <w:rFonts w:ascii="Verdana" w:hAnsi="Verdana" w:cs="Arial"/>
          <w:sz w:val="18"/>
          <w:szCs w:val="18"/>
        </w:rPr>
        <w:t xml:space="preserve">door EIOPA voorzien </w:t>
      </w:r>
      <w:r w:rsidRPr="00AD55C1">
        <w:rPr>
          <w:rFonts w:ascii="Verdana" w:hAnsi="Verdana" w:cs="Arial"/>
          <w:sz w:val="18"/>
          <w:szCs w:val="18"/>
        </w:rPr>
        <w:t xml:space="preserve">van het criterium </w:t>
      </w:r>
      <w:r w:rsidR="00DE4B31" w:rsidRPr="00AD55C1">
        <w:rPr>
          <w:rFonts w:ascii="Verdana" w:hAnsi="Verdana" w:cs="Arial"/>
          <w:sz w:val="18"/>
          <w:szCs w:val="18"/>
        </w:rPr>
        <w:t>”</w:t>
      </w:r>
      <w:r w:rsidRPr="00AD55C1">
        <w:rPr>
          <w:rFonts w:ascii="Verdana" w:hAnsi="Verdana" w:cs="Arial"/>
          <w:sz w:val="18"/>
          <w:szCs w:val="18"/>
        </w:rPr>
        <w:t>significant</w:t>
      </w:r>
      <w:r w:rsidR="0006134B">
        <w:rPr>
          <w:rFonts w:ascii="Verdana" w:hAnsi="Verdana" w:cs="Arial"/>
          <w:sz w:val="18"/>
          <w:szCs w:val="18"/>
        </w:rPr>
        <w:t xml:space="preserve"> marktaandeel</w:t>
      </w:r>
      <w:r w:rsidR="00DE4B31" w:rsidRPr="00AD55C1">
        <w:rPr>
          <w:rFonts w:ascii="Verdana" w:hAnsi="Verdana" w:cs="Arial"/>
          <w:sz w:val="18"/>
          <w:szCs w:val="18"/>
        </w:rPr>
        <w:t>”</w:t>
      </w:r>
      <w:r w:rsidRPr="00AD55C1">
        <w:rPr>
          <w:rFonts w:ascii="Verdana" w:hAnsi="Verdana" w:cs="Arial"/>
          <w:sz w:val="18"/>
          <w:szCs w:val="18"/>
        </w:rPr>
        <w:t xml:space="preserve"> </w:t>
      </w:r>
      <w:r w:rsidR="0006134B">
        <w:rPr>
          <w:rFonts w:ascii="Verdana" w:hAnsi="Verdana" w:cs="Arial"/>
          <w:sz w:val="18"/>
          <w:szCs w:val="18"/>
        </w:rPr>
        <w:t>dat in artikel 138, vierde lid, van de richtlijn solvabiliteit II wordt gebruikt</w:t>
      </w:r>
      <w:r w:rsidRPr="00AD55C1">
        <w:rPr>
          <w:rFonts w:ascii="Verdana" w:hAnsi="Verdana" w:cs="Arial"/>
          <w:sz w:val="18"/>
          <w:szCs w:val="18"/>
        </w:rPr>
        <w:t>.</w:t>
      </w:r>
    </w:p>
    <w:p w:rsidR="004813E8" w:rsidRPr="00AD55C1" w:rsidRDefault="004813E8" w:rsidP="00AD55C1">
      <w:pPr>
        <w:spacing w:line="260" w:lineRule="exact"/>
        <w:rPr>
          <w:rFonts w:ascii="Verdana" w:hAnsi="Verdana" w:cs="Verdana"/>
          <w:bCs/>
          <w:sz w:val="18"/>
          <w:szCs w:val="18"/>
        </w:rPr>
      </w:pPr>
      <w:r w:rsidRPr="00AD55C1">
        <w:rPr>
          <w:rFonts w:ascii="Verdana" w:hAnsi="Verdana" w:cs="Verdana"/>
          <w:bCs/>
          <w:sz w:val="18"/>
          <w:szCs w:val="18"/>
        </w:rPr>
        <w:t>De nationale toezichthouder kan bij EIOPA een verzoek indienen om vast te stellen dat sprake is van uitzonderlijke ongunstige omstandighed</w:t>
      </w:r>
      <w:r w:rsidR="00B3611E" w:rsidRPr="00AD55C1">
        <w:rPr>
          <w:rFonts w:ascii="Verdana" w:hAnsi="Verdana" w:cs="Verdana"/>
          <w:bCs/>
          <w:sz w:val="18"/>
          <w:szCs w:val="18"/>
        </w:rPr>
        <w:t>en</w:t>
      </w:r>
      <w:r w:rsidR="00C03170" w:rsidRPr="00AD55C1">
        <w:rPr>
          <w:rFonts w:ascii="Verdana" w:hAnsi="Verdana" w:cs="Verdana"/>
          <w:bCs/>
          <w:sz w:val="18"/>
          <w:szCs w:val="18"/>
        </w:rPr>
        <w:t xml:space="preserve">. </w:t>
      </w:r>
      <w:r w:rsidR="00B3611E" w:rsidRPr="00AD55C1">
        <w:rPr>
          <w:rFonts w:ascii="Verdana" w:hAnsi="Verdana" w:cs="Verdana"/>
          <w:bCs/>
          <w:sz w:val="18"/>
          <w:szCs w:val="18"/>
        </w:rPr>
        <w:t xml:space="preserve">Gezien de bedoeling van artikel 138, vierde lid, te weten om in </w:t>
      </w:r>
      <w:r w:rsidR="00B3611E" w:rsidRPr="00AD55C1">
        <w:rPr>
          <w:rFonts w:ascii="Verdana" w:hAnsi="Verdana" w:cs="Arial"/>
          <w:sz w:val="18"/>
          <w:szCs w:val="18"/>
        </w:rPr>
        <w:t>uitzonderlijke ongunstige omstandigheden</w:t>
      </w:r>
      <w:r w:rsidR="00BC6E60" w:rsidRPr="00AD55C1">
        <w:rPr>
          <w:rFonts w:ascii="Verdana" w:hAnsi="Verdana" w:cs="Arial"/>
          <w:sz w:val="18"/>
          <w:szCs w:val="18"/>
        </w:rPr>
        <w:t xml:space="preserve"> die naar aard en effect op voorhand niet te voorspellen </w:t>
      </w:r>
      <w:r w:rsidR="003167F3" w:rsidRPr="00AD55C1">
        <w:rPr>
          <w:rFonts w:ascii="Verdana" w:hAnsi="Verdana" w:cs="Arial"/>
          <w:sz w:val="18"/>
          <w:szCs w:val="18"/>
        </w:rPr>
        <w:t xml:space="preserve">zijn, </w:t>
      </w:r>
      <w:r w:rsidR="00B3611E" w:rsidRPr="00AD55C1">
        <w:rPr>
          <w:rFonts w:ascii="Verdana" w:hAnsi="Verdana" w:cs="Verdana"/>
          <w:bCs/>
          <w:sz w:val="18"/>
          <w:szCs w:val="18"/>
        </w:rPr>
        <w:t xml:space="preserve">hersteltermijnen te verlengen, leent dit artikel zich niet voor verdere concretisering. </w:t>
      </w:r>
    </w:p>
    <w:p w:rsidR="00817177" w:rsidRPr="00AD55C1" w:rsidRDefault="00817177" w:rsidP="00AD55C1">
      <w:pPr>
        <w:spacing w:line="260" w:lineRule="exact"/>
        <w:rPr>
          <w:rFonts w:ascii="Verdana" w:hAnsi="Verdana" w:cs="Verdana"/>
          <w:bCs/>
          <w:sz w:val="18"/>
          <w:szCs w:val="18"/>
        </w:rPr>
      </w:pPr>
    </w:p>
    <w:p w:rsidR="00181970" w:rsidRPr="00AD55C1" w:rsidRDefault="00181970" w:rsidP="00AD55C1">
      <w:pPr>
        <w:spacing w:line="260" w:lineRule="exact"/>
        <w:rPr>
          <w:rFonts w:ascii="Verdana" w:hAnsi="Verdana" w:cs="Verdana"/>
          <w:bCs/>
          <w:sz w:val="18"/>
          <w:szCs w:val="18"/>
        </w:rPr>
      </w:pPr>
      <w:r w:rsidRPr="00AD55C1">
        <w:rPr>
          <w:rStyle w:val="Nadrukcursief"/>
          <w:rFonts w:ascii="Verdana" w:hAnsi="Verdana"/>
          <w:iCs w:val="0"/>
          <w:sz w:val="18"/>
          <w:szCs w:val="18"/>
        </w:rPr>
        <w:t>A, onder 73 tot en met 7</w:t>
      </w:r>
      <w:r w:rsidR="00034B2F" w:rsidRPr="00AD55C1">
        <w:rPr>
          <w:rStyle w:val="Nadrukcursief"/>
          <w:rFonts w:ascii="Verdana" w:hAnsi="Verdana"/>
          <w:iCs w:val="0"/>
          <w:sz w:val="18"/>
          <w:szCs w:val="18"/>
        </w:rPr>
        <w:t>7</w:t>
      </w:r>
      <w:r w:rsidRPr="00AD55C1">
        <w:rPr>
          <w:rStyle w:val="Nadrukcursief"/>
          <w:rFonts w:ascii="Verdana" w:hAnsi="Verdana"/>
          <w:iCs w:val="0"/>
          <w:sz w:val="18"/>
          <w:szCs w:val="18"/>
        </w:rPr>
        <w:t xml:space="preserve"> (artikel I, onderdelen CN, CO, CP</w:t>
      </w:r>
      <w:r w:rsidR="00034B2F" w:rsidRPr="00AD55C1">
        <w:rPr>
          <w:rStyle w:val="Nadrukcursief"/>
          <w:rFonts w:ascii="Verdana" w:hAnsi="Verdana"/>
          <w:iCs w:val="0"/>
          <w:sz w:val="18"/>
          <w:szCs w:val="18"/>
        </w:rPr>
        <w:t>,</w:t>
      </w:r>
      <w:r w:rsidRPr="00AD55C1">
        <w:rPr>
          <w:rStyle w:val="Nadrukcursief"/>
          <w:rFonts w:ascii="Verdana" w:hAnsi="Verdana"/>
          <w:iCs w:val="0"/>
          <w:sz w:val="18"/>
          <w:szCs w:val="18"/>
        </w:rPr>
        <w:t xml:space="preserve"> CQ </w:t>
      </w:r>
      <w:r w:rsidR="00034B2F" w:rsidRPr="00AD55C1">
        <w:rPr>
          <w:rStyle w:val="Nadrukcursief"/>
          <w:rFonts w:ascii="Verdana" w:hAnsi="Verdana"/>
          <w:iCs w:val="0"/>
          <w:sz w:val="18"/>
          <w:szCs w:val="18"/>
        </w:rPr>
        <w:t xml:space="preserve">en CR, </w:t>
      </w:r>
      <w:r w:rsidRPr="00AD55C1">
        <w:rPr>
          <w:rStyle w:val="Nadrukcursief"/>
          <w:rFonts w:ascii="Verdana" w:hAnsi="Verdana"/>
          <w:iCs w:val="0"/>
          <w:sz w:val="18"/>
          <w:szCs w:val="18"/>
        </w:rPr>
        <w:t>van de Implementatiewet richtlijn solvabiliteit II)</w:t>
      </w:r>
    </w:p>
    <w:p w:rsidR="00181970" w:rsidRPr="00AD55C1" w:rsidRDefault="00181970" w:rsidP="00AD55C1">
      <w:pPr>
        <w:spacing w:line="260" w:lineRule="exact"/>
        <w:rPr>
          <w:rStyle w:val="Nadrukcursief"/>
          <w:rFonts w:ascii="Verdana" w:hAnsi="Verdana" w:cs="Verdana"/>
          <w:bCs/>
          <w:i w:val="0"/>
          <w:iCs w:val="0"/>
          <w:sz w:val="18"/>
          <w:szCs w:val="18"/>
        </w:rPr>
      </w:pPr>
      <w:r w:rsidRPr="00AD55C1">
        <w:rPr>
          <w:rStyle w:val="Nadrukcursief"/>
          <w:rFonts w:ascii="Verdana" w:hAnsi="Verdana"/>
          <w:i w:val="0"/>
          <w:iCs w:val="0"/>
          <w:sz w:val="18"/>
          <w:szCs w:val="18"/>
        </w:rPr>
        <w:t xml:space="preserve">In de artikelen 3:140, 3:141 en 3:142 van de Wft </w:t>
      </w:r>
      <w:r w:rsidR="00034B2F" w:rsidRPr="00AD55C1">
        <w:rPr>
          <w:rStyle w:val="Nadrukcursief"/>
          <w:rFonts w:ascii="Verdana" w:hAnsi="Verdana"/>
          <w:i w:val="0"/>
          <w:iCs w:val="0"/>
          <w:sz w:val="18"/>
          <w:szCs w:val="18"/>
        </w:rPr>
        <w:t xml:space="preserve">wordt aangegeven </w:t>
      </w:r>
      <w:r w:rsidRPr="00AD55C1">
        <w:rPr>
          <w:rFonts w:ascii="Verdana" w:hAnsi="Verdana" w:cs="Verdana"/>
          <w:bCs/>
          <w:sz w:val="18"/>
          <w:szCs w:val="18"/>
        </w:rPr>
        <w:t>welke verzekeraars het betreft.</w:t>
      </w:r>
    </w:p>
    <w:p w:rsidR="00181970" w:rsidRPr="00AD55C1" w:rsidRDefault="00181970" w:rsidP="00AD55C1">
      <w:pPr>
        <w:spacing w:line="260" w:lineRule="exact"/>
        <w:rPr>
          <w:rStyle w:val="Nadrukcursief"/>
          <w:rFonts w:ascii="Verdana" w:hAnsi="Verdana"/>
          <w:iCs w:val="0"/>
          <w:sz w:val="18"/>
          <w:szCs w:val="18"/>
        </w:rPr>
      </w:pPr>
    </w:p>
    <w:p w:rsidR="00034B2F" w:rsidRPr="00AD55C1" w:rsidRDefault="00034B2F" w:rsidP="00AD55C1">
      <w:pPr>
        <w:spacing w:line="260" w:lineRule="exact"/>
        <w:rPr>
          <w:rFonts w:ascii="Verdana" w:hAnsi="Verdana" w:cs="Verdana"/>
          <w:bCs/>
          <w:sz w:val="18"/>
          <w:szCs w:val="18"/>
        </w:rPr>
      </w:pPr>
      <w:r w:rsidRPr="00AD55C1">
        <w:rPr>
          <w:rStyle w:val="Nadrukcursief"/>
          <w:rFonts w:ascii="Verdana" w:hAnsi="Verdana"/>
          <w:iCs w:val="0"/>
          <w:sz w:val="18"/>
          <w:szCs w:val="18"/>
        </w:rPr>
        <w:t>A, onder 78 (artikel I, onderdeel CSa, van de Implementatiewet richtlijn solvabiliteit II)</w:t>
      </w:r>
    </w:p>
    <w:p w:rsidR="00181970" w:rsidRPr="00AD55C1" w:rsidRDefault="00034B2F" w:rsidP="00AD55C1">
      <w:pPr>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Het opschrift is in lijn gebracht met de reikwijdte van de in </w:t>
      </w:r>
      <w:r w:rsidR="00066E9D">
        <w:rPr>
          <w:rStyle w:val="Nadrukcursief"/>
          <w:rFonts w:ascii="Verdana" w:hAnsi="Verdana"/>
          <w:i w:val="0"/>
          <w:iCs w:val="0"/>
          <w:sz w:val="18"/>
          <w:szCs w:val="18"/>
        </w:rPr>
        <w:t xml:space="preserve">deze paragraaf </w:t>
      </w:r>
      <w:r w:rsidRPr="00AD55C1">
        <w:rPr>
          <w:rStyle w:val="Nadrukcursief"/>
          <w:rFonts w:ascii="Verdana" w:hAnsi="Verdana"/>
          <w:i w:val="0"/>
          <w:iCs w:val="0"/>
          <w:sz w:val="18"/>
          <w:szCs w:val="18"/>
        </w:rPr>
        <w:t>opgenomen artikelen.</w:t>
      </w:r>
    </w:p>
    <w:p w:rsidR="00034B2F" w:rsidRPr="00AD55C1" w:rsidRDefault="00034B2F" w:rsidP="00AD55C1">
      <w:pPr>
        <w:spacing w:line="260" w:lineRule="exact"/>
        <w:rPr>
          <w:rStyle w:val="Nadrukcursief"/>
          <w:rFonts w:ascii="Verdana" w:hAnsi="Verdana"/>
          <w:iCs w:val="0"/>
          <w:sz w:val="18"/>
          <w:szCs w:val="18"/>
        </w:rPr>
      </w:pPr>
    </w:p>
    <w:p w:rsidR="00034B2F" w:rsidRPr="00AD55C1" w:rsidRDefault="00034B2F" w:rsidP="00AD55C1">
      <w:pPr>
        <w:spacing w:line="260" w:lineRule="exact"/>
        <w:rPr>
          <w:rFonts w:ascii="Verdana" w:hAnsi="Verdana" w:cs="Verdana"/>
          <w:bCs/>
          <w:sz w:val="18"/>
          <w:szCs w:val="18"/>
        </w:rPr>
      </w:pPr>
      <w:r w:rsidRPr="00AD55C1">
        <w:rPr>
          <w:rStyle w:val="Nadrukcursief"/>
          <w:rFonts w:ascii="Verdana" w:hAnsi="Verdana"/>
          <w:iCs w:val="0"/>
          <w:sz w:val="18"/>
          <w:szCs w:val="18"/>
        </w:rPr>
        <w:t>A, onder 79 tot en met 81 (artikel I, onderdelen CT, CU en CV, van de Implementatiewet richtlijn solvabiliteit II)</w:t>
      </w:r>
    </w:p>
    <w:p w:rsidR="00034B2F" w:rsidRPr="00AD55C1" w:rsidRDefault="00034B2F" w:rsidP="00AD55C1">
      <w:pPr>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In de betrokken artikelen wordt aangegeven welke verzekeraars het betreft. </w:t>
      </w:r>
    </w:p>
    <w:p w:rsidR="00034B2F" w:rsidRPr="00AD55C1" w:rsidRDefault="00034B2F" w:rsidP="00AD55C1">
      <w:pPr>
        <w:spacing w:line="260" w:lineRule="exact"/>
        <w:rPr>
          <w:rStyle w:val="Nadrukcursief"/>
          <w:rFonts w:ascii="Verdana" w:hAnsi="Verdana"/>
          <w:iCs w:val="0"/>
          <w:sz w:val="18"/>
          <w:szCs w:val="18"/>
        </w:rPr>
      </w:pPr>
    </w:p>
    <w:p w:rsidR="00034B2F" w:rsidRPr="00AD55C1" w:rsidRDefault="00034B2F"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06134B">
        <w:rPr>
          <w:rStyle w:val="Nadrukcursief"/>
          <w:rFonts w:ascii="Verdana" w:hAnsi="Verdana"/>
          <w:iCs w:val="0"/>
          <w:sz w:val="18"/>
          <w:szCs w:val="18"/>
        </w:rPr>
        <w:t xml:space="preserve">82 en </w:t>
      </w:r>
      <w:r w:rsidRPr="00AD55C1">
        <w:rPr>
          <w:rStyle w:val="Nadrukcursief"/>
          <w:rFonts w:ascii="Verdana" w:hAnsi="Verdana"/>
          <w:iCs w:val="0"/>
          <w:sz w:val="18"/>
          <w:szCs w:val="18"/>
        </w:rPr>
        <w:t xml:space="preserve">83 (artikel I, onderdelen </w:t>
      </w:r>
      <w:r w:rsidR="0006134B">
        <w:rPr>
          <w:rStyle w:val="Nadrukcursief"/>
          <w:rFonts w:ascii="Verdana" w:hAnsi="Verdana"/>
          <w:iCs w:val="0"/>
          <w:sz w:val="18"/>
          <w:szCs w:val="18"/>
        </w:rPr>
        <w:t xml:space="preserve">CW, </w:t>
      </w:r>
      <w:r w:rsidRPr="00AD55C1">
        <w:rPr>
          <w:rStyle w:val="Nadrukcursief"/>
          <w:rFonts w:ascii="Verdana" w:hAnsi="Verdana"/>
          <w:iCs w:val="0"/>
          <w:sz w:val="18"/>
          <w:szCs w:val="18"/>
        </w:rPr>
        <w:t>CZa</w:t>
      </w:r>
      <w:r w:rsidR="00D75B7F" w:rsidRPr="00AD55C1">
        <w:rPr>
          <w:rStyle w:val="Nadrukcursief"/>
          <w:rFonts w:ascii="Verdana" w:hAnsi="Verdana"/>
          <w:iCs w:val="0"/>
          <w:sz w:val="18"/>
          <w:szCs w:val="18"/>
        </w:rPr>
        <w:t xml:space="preserve"> tot en met CZc</w:t>
      </w:r>
      <w:r w:rsidRPr="00AD55C1">
        <w:rPr>
          <w:rStyle w:val="Nadrukcursief"/>
          <w:rFonts w:ascii="Verdana" w:hAnsi="Verdana"/>
          <w:iCs w:val="0"/>
          <w:sz w:val="18"/>
          <w:szCs w:val="18"/>
        </w:rPr>
        <w:t>, van de Implementatiewet richtlijn solvabiliteit II)</w:t>
      </w:r>
    </w:p>
    <w:p w:rsidR="00034B2F" w:rsidRPr="00AD55C1" w:rsidRDefault="00D75B7F" w:rsidP="00AD55C1">
      <w:pPr>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De bepalingen over de opvangregeling voor levensverzekeraars moeten worden </w:t>
      </w:r>
      <w:r w:rsidR="00BF0A87" w:rsidRPr="00AD55C1">
        <w:rPr>
          <w:rStyle w:val="Nadrukcursief"/>
          <w:rFonts w:ascii="Verdana" w:hAnsi="Verdana"/>
          <w:i w:val="0"/>
          <w:iCs w:val="0"/>
          <w:sz w:val="18"/>
          <w:szCs w:val="18"/>
        </w:rPr>
        <w:t xml:space="preserve">aangepast en </w:t>
      </w:r>
      <w:r w:rsidRPr="00AD55C1">
        <w:rPr>
          <w:rStyle w:val="Nadrukcursief"/>
          <w:rFonts w:ascii="Verdana" w:hAnsi="Verdana"/>
          <w:i w:val="0"/>
          <w:iCs w:val="0"/>
          <w:sz w:val="18"/>
          <w:szCs w:val="18"/>
        </w:rPr>
        <w:t xml:space="preserve">aangevuld om rekening te houden met levensverzekeraars met beperkte risico-omvang. </w:t>
      </w:r>
    </w:p>
    <w:p w:rsidR="00034B2F" w:rsidRPr="00AD55C1" w:rsidRDefault="00034B2F" w:rsidP="00AD55C1">
      <w:pPr>
        <w:spacing w:line="260" w:lineRule="exact"/>
        <w:rPr>
          <w:rStyle w:val="Nadrukcursief"/>
          <w:rFonts w:ascii="Verdana" w:hAnsi="Verdana"/>
          <w:i w:val="0"/>
          <w:iCs w:val="0"/>
          <w:sz w:val="18"/>
          <w:szCs w:val="18"/>
        </w:rPr>
      </w:pPr>
    </w:p>
    <w:p w:rsidR="00D50CE9" w:rsidRPr="00AD55C1" w:rsidRDefault="00D50CE9"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D75B7F" w:rsidRPr="00AD55C1">
        <w:rPr>
          <w:rStyle w:val="Nadrukcursief"/>
          <w:rFonts w:ascii="Verdana" w:hAnsi="Verdana"/>
          <w:iCs w:val="0"/>
          <w:sz w:val="18"/>
          <w:szCs w:val="18"/>
        </w:rPr>
        <w:t>84</w:t>
      </w:r>
      <w:r w:rsidR="00493498" w:rsidRPr="00AD55C1">
        <w:rPr>
          <w:rStyle w:val="Nadrukcursief"/>
          <w:rFonts w:ascii="Verdana" w:hAnsi="Verdana"/>
          <w:iCs w:val="0"/>
          <w:sz w:val="18"/>
          <w:szCs w:val="18"/>
        </w:rPr>
        <w:t xml:space="preserve"> en </w:t>
      </w:r>
      <w:r w:rsidR="00D75B7F" w:rsidRPr="00AD55C1">
        <w:rPr>
          <w:rStyle w:val="Nadrukcursief"/>
          <w:rFonts w:ascii="Verdana" w:hAnsi="Verdana"/>
          <w:iCs w:val="0"/>
          <w:sz w:val="18"/>
          <w:szCs w:val="18"/>
        </w:rPr>
        <w:t>85</w:t>
      </w:r>
      <w:r w:rsidR="00E378BF" w:rsidRPr="00AD55C1">
        <w:rPr>
          <w:rStyle w:val="Nadrukcursief"/>
          <w:rFonts w:ascii="Verdana" w:hAnsi="Verdana"/>
          <w:iCs w:val="0"/>
          <w:sz w:val="18"/>
          <w:szCs w:val="18"/>
        </w:rPr>
        <w:t xml:space="preserve"> </w:t>
      </w:r>
      <w:r w:rsidRPr="00AD55C1">
        <w:rPr>
          <w:rStyle w:val="Nadrukcursief"/>
          <w:rFonts w:ascii="Verdana" w:hAnsi="Verdana"/>
          <w:iCs w:val="0"/>
          <w:sz w:val="18"/>
          <w:szCs w:val="18"/>
        </w:rPr>
        <w:t>(artikel I, onderdel</w:t>
      </w:r>
      <w:r w:rsidR="00755A67" w:rsidRPr="00AD55C1">
        <w:rPr>
          <w:rStyle w:val="Nadrukcursief"/>
          <w:rFonts w:ascii="Verdana" w:hAnsi="Verdana"/>
          <w:iCs w:val="0"/>
          <w:sz w:val="18"/>
          <w:szCs w:val="18"/>
        </w:rPr>
        <w:t>en</w:t>
      </w:r>
      <w:r w:rsidRPr="00AD55C1">
        <w:rPr>
          <w:rStyle w:val="Nadrukcursief"/>
          <w:rFonts w:ascii="Verdana" w:hAnsi="Verdana"/>
          <w:iCs w:val="0"/>
          <w:sz w:val="18"/>
          <w:szCs w:val="18"/>
        </w:rPr>
        <w:t xml:space="preserve"> DB</w:t>
      </w:r>
      <w:r w:rsidR="00755A67" w:rsidRPr="00AD55C1">
        <w:rPr>
          <w:rStyle w:val="Nadrukcursief"/>
          <w:rFonts w:ascii="Verdana" w:hAnsi="Verdana"/>
          <w:iCs w:val="0"/>
          <w:sz w:val="18"/>
          <w:szCs w:val="18"/>
        </w:rPr>
        <w:t xml:space="preserve"> en DBa</w:t>
      </w:r>
      <w:r w:rsidRPr="00AD55C1">
        <w:rPr>
          <w:rStyle w:val="Nadrukcursief"/>
          <w:rFonts w:ascii="Verdana" w:hAnsi="Verdana"/>
          <w:iCs w:val="0"/>
          <w:sz w:val="18"/>
          <w:szCs w:val="18"/>
        </w:rPr>
        <w:t>, van de Implementatiewet richtlijn solvabiliteit II)</w:t>
      </w:r>
    </w:p>
    <w:p w:rsidR="008551CC" w:rsidRDefault="00DE131D"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lastRenderedPageBreak/>
        <w:t>Artikel I, onderdeel DB, van de Implementatiewet richtlijn solvabiliteit II betreft artikel 3:1</w:t>
      </w:r>
      <w:r w:rsidR="00D75B7F" w:rsidRPr="00AD55C1">
        <w:rPr>
          <w:rStyle w:val="Nadrukcursief"/>
          <w:rFonts w:ascii="Verdana" w:hAnsi="Verdana"/>
          <w:i w:val="0"/>
          <w:iCs w:val="0"/>
          <w:sz w:val="18"/>
          <w:szCs w:val="18"/>
        </w:rPr>
        <w:t>8</w:t>
      </w:r>
      <w:r w:rsidRPr="00AD55C1">
        <w:rPr>
          <w:rStyle w:val="Nadrukcursief"/>
          <w:rFonts w:ascii="Verdana" w:hAnsi="Verdana"/>
          <w:i w:val="0"/>
          <w:iCs w:val="0"/>
          <w:sz w:val="18"/>
          <w:szCs w:val="18"/>
        </w:rPr>
        <w:t>9 Wft</w:t>
      </w:r>
      <w:r w:rsidR="00493498" w:rsidRPr="00AD55C1">
        <w:rPr>
          <w:rStyle w:val="Nadrukcursief"/>
          <w:rFonts w:ascii="Verdana" w:hAnsi="Verdana"/>
          <w:i w:val="0"/>
          <w:iCs w:val="0"/>
          <w:sz w:val="18"/>
          <w:szCs w:val="18"/>
        </w:rPr>
        <w:t xml:space="preserve">. </w:t>
      </w:r>
      <w:r w:rsidR="00D50CE9" w:rsidRPr="00AD55C1">
        <w:rPr>
          <w:rStyle w:val="Nadrukcursief"/>
          <w:rFonts w:ascii="Verdana" w:hAnsi="Verdana"/>
          <w:i w:val="0"/>
          <w:iCs w:val="0"/>
          <w:sz w:val="18"/>
          <w:szCs w:val="18"/>
        </w:rPr>
        <w:t xml:space="preserve">In onderdeel DB is een omissie hersteld. </w:t>
      </w:r>
    </w:p>
    <w:p w:rsidR="00D50CE9" w:rsidRPr="00AD55C1" w:rsidRDefault="008551CC"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Onderdeel DBa betreft artikel 3:195 Wft. </w:t>
      </w:r>
      <w:r w:rsidR="00D50CE9" w:rsidRPr="00AD55C1">
        <w:rPr>
          <w:rStyle w:val="Nadrukcursief"/>
          <w:rFonts w:ascii="Verdana" w:hAnsi="Verdana"/>
          <w:i w:val="0"/>
          <w:iCs w:val="0"/>
          <w:sz w:val="18"/>
          <w:szCs w:val="18"/>
        </w:rPr>
        <w:t xml:space="preserve">De tekst van artikel 3:195, vijfde lid, is iets afwijkend van de tekst van de artikelen 3:189, vijfde lid, en 3:194, vijfde lid, en daarom </w:t>
      </w:r>
      <w:r>
        <w:rPr>
          <w:rStyle w:val="Nadrukcursief"/>
          <w:rFonts w:ascii="Verdana" w:hAnsi="Verdana"/>
          <w:i w:val="0"/>
          <w:iCs w:val="0"/>
          <w:sz w:val="18"/>
          <w:szCs w:val="18"/>
        </w:rPr>
        <w:t xml:space="preserve">moet </w:t>
      </w:r>
      <w:r w:rsidR="00D50CE9" w:rsidRPr="00AD55C1">
        <w:rPr>
          <w:rStyle w:val="Nadrukcursief"/>
          <w:rFonts w:ascii="Verdana" w:hAnsi="Verdana"/>
          <w:i w:val="0"/>
          <w:iCs w:val="0"/>
          <w:sz w:val="18"/>
          <w:szCs w:val="18"/>
        </w:rPr>
        <w:t xml:space="preserve">de aanpassing van artikel 3:195, vijfde lid, afzonderlijk </w:t>
      </w:r>
      <w:r>
        <w:rPr>
          <w:rStyle w:val="Nadrukcursief"/>
          <w:rFonts w:ascii="Verdana" w:hAnsi="Verdana"/>
          <w:i w:val="0"/>
          <w:iCs w:val="0"/>
          <w:sz w:val="18"/>
          <w:szCs w:val="18"/>
        </w:rPr>
        <w:t xml:space="preserve">worden </w:t>
      </w:r>
      <w:r w:rsidR="00D50CE9" w:rsidRPr="00AD55C1">
        <w:rPr>
          <w:rStyle w:val="Nadrukcursief"/>
          <w:rFonts w:ascii="Verdana" w:hAnsi="Verdana"/>
          <w:i w:val="0"/>
          <w:iCs w:val="0"/>
          <w:sz w:val="18"/>
          <w:szCs w:val="18"/>
        </w:rPr>
        <w:t>geregeld.</w:t>
      </w:r>
    </w:p>
    <w:p w:rsidR="00D7782B" w:rsidRPr="00AD55C1" w:rsidRDefault="00D7782B" w:rsidP="00AD55C1">
      <w:pPr>
        <w:pStyle w:val="Default"/>
        <w:spacing w:line="260" w:lineRule="exact"/>
        <w:rPr>
          <w:rFonts w:ascii="Verdana" w:hAnsi="Verdana" w:cs="Verdana"/>
          <w:sz w:val="18"/>
          <w:szCs w:val="18"/>
        </w:rPr>
      </w:pPr>
    </w:p>
    <w:p w:rsidR="00D7782B" w:rsidRPr="00AD55C1" w:rsidRDefault="00D7782B" w:rsidP="00AD55C1">
      <w:pPr>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w:t>
      </w:r>
      <w:r w:rsidR="00D75B7F" w:rsidRPr="00AD55C1">
        <w:rPr>
          <w:rStyle w:val="Nadrukcursief"/>
          <w:rFonts w:ascii="Verdana" w:hAnsi="Verdana"/>
          <w:iCs w:val="0"/>
          <w:sz w:val="18"/>
          <w:szCs w:val="18"/>
        </w:rPr>
        <w:t xml:space="preserve">86 </w:t>
      </w:r>
      <w:r w:rsidRPr="00AD55C1">
        <w:rPr>
          <w:rStyle w:val="Nadrukcursief"/>
          <w:rFonts w:ascii="Verdana" w:hAnsi="Verdana"/>
          <w:iCs w:val="0"/>
          <w:sz w:val="18"/>
          <w:szCs w:val="18"/>
        </w:rPr>
        <w:t>(artikel I, onderd</w:t>
      </w:r>
      <w:r w:rsidR="00D75B7F" w:rsidRPr="00AD55C1">
        <w:rPr>
          <w:rStyle w:val="Nadrukcursief"/>
          <w:rFonts w:ascii="Verdana" w:hAnsi="Verdana"/>
          <w:iCs w:val="0"/>
          <w:sz w:val="18"/>
          <w:szCs w:val="18"/>
        </w:rPr>
        <w:t>e</w:t>
      </w:r>
      <w:r w:rsidRPr="00AD55C1">
        <w:rPr>
          <w:rStyle w:val="Nadrukcursief"/>
          <w:rFonts w:ascii="Verdana" w:hAnsi="Verdana"/>
          <w:iCs w:val="0"/>
          <w:sz w:val="18"/>
          <w:szCs w:val="18"/>
        </w:rPr>
        <w:t>el D</w:t>
      </w:r>
      <w:r w:rsidR="00D75B7F" w:rsidRPr="00AD55C1">
        <w:rPr>
          <w:rStyle w:val="Nadrukcursief"/>
          <w:rFonts w:ascii="Verdana" w:hAnsi="Verdana"/>
          <w:iCs w:val="0"/>
          <w:sz w:val="18"/>
          <w:szCs w:val="18"/>
        </w:rPr>
        <w:t>Ca,</w:t>
      </w:r>
      <w:r w:rsidRPr="00AD55C1">
        <w:rPr>
          <w:rStyle w:val="Nadrukcursief"/>
          <w:rFonts w:ascii="Verdana" w:hAnsi="Verdana"/>
          <w:iCs w:val="0"/>
          <w:sz w:val="18"/>
          <w:szCs w:val="18"/>
        </w:rPr>
        <w:t xml:space="preserve"> van de Implementatiewet richtlijn solvabiliteit II)</w:t>
      </w:r>
    </w:p>
    <w:p w:rsidR="00D75B7F" w:rsidRPr="00AD55C1" w:rsidRDefault="00D75B7F" w:rsidP="00AD55C1">
      <w:pPr>
        <w:spacing w:line="260" w:lineRule="exact"/>
        <w:rPr>
          <w:rFonts w:ascii="Verdana" w:hAnsi="Verdana" w:cs="Verdana"/>
          <w:bCs/>
          <w:sz w:val="18"/>
          <w:szCs w:val="18"/>
        </w:rPr>
      </w:pPr>
      <w:r w:rsidRPr="00AD55C1">
        <w:rPr>
          <w:rFonts w:ascii="Verdana" w:hAnsi="Verdana" w:cs="Verdana"/>
          <w:bCs/>
          <w:sz w:val="18"/>
          <w:szCs w:val="18"/>
        </w:rPr>
        <w:t>In het artikel 3:</w:t>
      </w:r>
      <w:r w:rsidR="00452123" w:rsidRPr="00AD55C1">
        <w:rPr>
          <w:rFonts w:ascii="Verdana" w:hAnsi="Verdana" w:cs="Verdana"/>
          <w:bCs/>
          <w:sz w:val="18"/>
          <w:szCs w:val="18"/>
        </w:rPr>
        <w:t>2</w:t>
      </w:r>
      <w:r w:rsidRPr="00AD55C1">
        <w:rPr>
          <w:rFonts w:ascii="Verdana" w:hAnsi="Verdana" w:cs="Verdana"/>
          <w:bCs/>
          <w:sz w:val="18"/>
          <w:szCs w:val="18"/>
        </w:rPr>
        <w:t>02 wordt aangegeven welke verzekeraars het betreft.</w:t>
      </w:r>
    </w:p>
    <w:p w:rsidR="00D75B7F" w:rsidRPr="00AD55C1" w:rsidRDefault="00D75B7F" w:rsidP="00AD55C1">
      <w:pPr>
        <w:spacing w:line="260" w:lineRule="exact"/>
        <w:rPr>
          <w:rFonts w:ascii="Verdana" w:hAnsi="Verdana" w:cs="Verdana"/>
          <w:bCs/>
          <w:sz w:val="18"/>
          <w:szCs w:val="18"/>
        </w:rPr>
      </w:pPr>
    </w:p>
    <w:p w:rsidR="00D75B7F" w:rsidRPr="00AD55C1" w:rsidRDefault="00D75B7F" w:rsidP="00AD55C1">
      <w:pPr>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87 (artikel I, onderdeel DD, van de Implementatiewet richtlijn solvabiliteit II)</w:t>
      </w:r>
    </w:p>
    <w:p w:rsidR="00D7782B" w:rsidRPr="00AD55C1" w:rsidRDefault="00D7782B" w:rsidP="00AD55C1">
      <w:pPr>
        <w:pStyle w:val="Default"/>
        <w:spacing w:line="260" w:lineRule="exact"/>
        <w:rPr>
          <w:rFonts w:ascii="Verdana" w:hAnsi="Verdana" w:cs="Verdana"/>
          <w:sz w:val="18"/>
          <w:szCs w:val="18"/>
        </w:rPr>
      </w:pPr>
      <w:r w:rsidRPr="00AD55C1">
        <w:rPr>
          <w:rFonts w:ascii="Verdana" w:hAnsi="Verdana" w:cs="Verdana"/>
          <w:sz w:val="18"/>
          <w:szCs w:val="18"/>
        </w:rPr>
        <w:t>Artikel 3:203 is inmiddels vervallen, waardoor de aanpassing van dit artikel overbodig is geworden.</w:t>
      </w:r>
      <w:r w:rsidR="00D75B7F" w:rsidRPr="00AD55C1">
        <w:rPr>
          <w:rFonts w:ascii="Verdana" w:hAnsi="Verdana" w:cs="Verdana"/>
          <w:sz w:val="18"/>
          <w:szCs w:val="18"/>
        </w:rPr>
        <w:t xml:space="preserve"> In plaats daarvan wordt in artikel 3:206, eerste en tweede lid, aangegeven welke verzekeraars het betreft.</w:t>
      </w:r>
    </w:p>
    <w:p w:rsidR="00D50CE9" w:rsidRPr="00AD55C1" w:rsidRDefault="00D50CE9" w:rsidP="00AD55C1">
      <w:pPr>
        <w:spacing w:line="260" w:lineRule="exact"/>
        <w:rPr>
          <w:rFonts w:ascii="Verdana" w:hAnsi="Verdana" w:cs="Verdana"/>
          <w:bCs/>
          <w:sz w:val="18"/>
          <w:szCs w:val="18"/>
        </w:rPr>
      </w:pPr>
    </w:p>
    <w:p w:rsidR="00030D1D" w:rsidRPr="00AD55C1" w:rsidRDefault="00030D1D" w:rsidP="00AD55C1">
      <w:pPr>
        <w:spacing w:line="260" w:lineRule="exact"/>
        <w:rPr>
          <w:rStyle w:val="Nadrukcursief"/>
          <w:rFonts w:ascii="Verdana" w:hAnsi="Verdana"/>
          <w:iCs w:val="0"/>
          <w:sz w:val="18"/>
          <w:szCs w:val="18"/>
        </w:rPr>
      </w:pPr>
      <w:r w:rsidRPr="00AD55C1">
        <w:rPr>
          <w:rStyle w:val="Nadrukcursief"/>
          <w:rFonts w:ascii="Verdana" w:hAnsi="Verdana"/>
          <w:iCs w:val="0"/>
          <w:sz w:val="18"/>
          <w:szCs w:val="18"/>
        </w:rPr>
        <w:t>A, onder 88 (artikel I, onderdelen DEa tot en met DE</w:t>
      </w:r>
      <w:r w:rsidR="00C52ACD" w:rsidRPr="00AD55C1">
        <w:rPr>
          <w:rStyle w:val="Nadrukcursief"/>
          <w:rFonts w:ascii="Verdana" w:hAnsi="Verdana"/>
          <w:iCs w:val="0"/>
          <w:sz w:val="18"/>
          <w:szCs w:val="18"/>
        </w:rPr>
        <w:t>n</w:t>
      </w:r>
      <w:r w:rsidRPr="00AD55C1">
        <w:rPr>
          <w:rStyle w:val="Nadrukcursief"/>
          <w:rFonts w:ascii="Verdana" w:hAnsi="Verdana"/>
          <w:iCs w:val="0"/>
          <w:sz w:val="18"/>
          <w:szCs w:val="18"/>
        </w:rPr>
        <w:t>, van de Implementatiewet richtlijn solvabiliteit II)</w:t>
      </w:r>
    </w:p>
    <w:p w:rsidR="00452123" w:rsidRPr="00AD55C1" w:rsidRDefault="00452123" w:rsidP="00AD55C1">
      <w:pPr>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De bepalingen over d</w:t>
      </w:r>
      <w:r w:rsidR="008905F4" w:rsidRPr="00AD55C1">
        <w:rPr>
          <w:rStyle w:val="Nadrukcursief"/>
          <w:rFonts w:ascii="Verdana" w:hAnsi="Verdana"/>
          <w:i w:val="0"/>
          <w:iCs w:val="0"/>
          <w:sz w:val="18"/>
          <w:szCs w:val="18"/>
        </w:rPr>
        <w:t xml:space="preserve">e noodregeling </w:t>
      </w:r>
      <w:r w:rsidRPr="00AD55C1">
        <w:rPr>
          <w:rStyle w:val="Nadrukcursief"/>
          <w:rFonts w:ascii="Verdana" w:hAnsi="Verdana"/>
          <w:i w:val="0"/>
          <w:iCs w:val="0"/>
          <w:sz w:val="18"/>
          <w:szCs w:val="18"/>
        </w:rPr>
        <w:t xml:space="preserve">moeten worden aangevuld om rekening te houden met verzekeraars met beperkte risico-omvang. </w:t>
      </w:r>
    </w:p>
    <w:p w:rsidR="00030D1D" w:rsidRPr="00AD55C1" w:rsidRDefault="00030D1D" w:rsidP="00AD55C1">
      <w:pPr>
        <w:spacing w:line="260" w:lineRule="exact"/>
        <w:rPr>
          <w:rFonts w:ascii="Verdana" w:hAnsi="Verdana" w:cs="Verdana"/>
          <w:bCs/>
          <w:sz w:val="18"/>
          <w:szCs w:val="18"/>
        </w:rPr>
      </w:pPr>
    </w:p>
    <w:p w:rsidR="00510895" w:rsidRPr="00AD55C1" w:rsidRDefault="00510895"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8905F4" w:rsidRPr="00AD55C1">
        <w:rPr>
          <w:rStyle w:val="Nadrukcursief"/>
          <w:rFonts w:ascii="Verdana" w:hAnsi="Verdana"/>
          <w:iCs w:val="0"/>
          <w:sz w:val="18"/>
          <w:szCs w:val="18"/>
        </w:rPr>
        <w:t>89</w:t>
      </w:r>
      <w:r w:rsidRPr="00AD55C1">
        <w:rPr>
          <w:rStyle w:val="Nadrukcursief"/>
          <w:rFonts w:ascii="Verdana" w:hAnsi="Verdana"/>
          <w:iCs w:val="0"/>
          <w:sz w:val="18"/>
          <w:szCs w:val="18"/>
        </w:rPr>
        <w:t xml:space="preserve"> (artikel I, onderdeel DG van de Implementatiewet richtlijn solvabiliteit II)</w:t>
      </w:r>
    </w:p>
    <w:p w:rsidR="00510895" w:rsidRPr="00AD55C1" w:rsidRDefault="0016117B" w:rsidP="00AD55C1">
      <w:pPr>
        <w:spacing w:line="260" w:lineRule="exact"/>
        <w:rPr>
          <w:rFonts w:ascii="Verdana" w:hAnsi="Verdana" w:cs="Verdana"/>
          <w:bCs/>
          <w:sz w:val="18"/>
          <w:szCs w:val="18"/>
        </w:rPr>
      </w:pPr>
      <w:r w:rsidRPr="00AD55C1">
        <w:rPr>
          <w:rStyle w:val="Nadrukcursief"/>
          <w:rFonts w:ascii="Verdana" w:hAnsi="Verdana"/>
          <w:i w:val="0"/>
          <w:iCs w:val="0"/>
          <w:sz w:val="18"/>
          <w:szCs w:val="18"/>
        </w:rPr>
        <w:t>Artikel I, onderdeel DG, van de Implementatiewet richtlijn solvabiliteit II betreft het opschrift van hoofdstuk 3.6</w:t>
      </w:r>
      <w:r w:rsidR="00493498" w:rsidRPr="00AD55C1">
        <w:rPr>
          <w:rStyle w:val="Nadrukcursief"/>
          <w:rFonts w:ascii="Verdana" w:hAnsi="Verdana"/>
          <w:i w:val="0"/>
          <w:iCs w:val="0"/>
          <w:sz w:val="18"/>
          <w:szCs w:val="18"/>
        </w:rPr>
        <w:t xml:space="preserve"> </w:t>
      </w:r>
      <w:r w:rsidRPr="00AD55C1">
        <w:rPr>
          <w:rStyle w:val="Nadrukcursief"/>
          <w:rFonts w:ascii="Verdana" w:hAnsi="Verdana"/>
          <w:i w:val="0"/>
          <w:iCs w:val="0"/>
          <w:sz w:val="18"/>
          <w:szCs w:val="18"/>
        </w:rPr>
        <w:t>Wft.</w:t>
      </w:r>
      <w:r w:rsidRPr="00AD55C1">
        <w:rPr>
          <w:rFonts w:ascii="Verdana" w:hAnsi="Verdana" w:cs="Verdana"/>
          <w:bCs/>
          <w:sz w:val="18"/>
          <w:szCs w:val="18"/>
        </w:rPr>
        <w:t xml:space="preserve"> </w:t>
      </w:r>
      <w:r w:rsidR="00493498" w:rsidRPr="00AD55C1">
        <w:rPr>
          <w:rFonts w:ascii="Verdana" w:hAnsi="Verdana" w:cs="Verdana"/>
          <w:bCs/>
          <w:sz w:val="18"/>
          <w:szCs w:val="18"/>
        </w:rPr>
        <w:t>H</w:t>
      </w:r>
      <w:r w:rsidR="00510895" w:rsidRPr="00AD55C1">
        <w:rPr>
          <w:rFonts w:ascii="Verdana" w:hAnsi="Verdana" w:cs="Verdana"/>
          <w:bCs/>
          <w:sz w:val="18"/>
          <w:szCs w:val="18"/>
        </w:rPr>
        <w:t>et woord “financiële”</w:t>
      </w:r>
      <w:r w:rsidR="00493498" w:rsidRPr="00AD55C1">
        <w:rPr>
          <w:rFonts w:ascii="Verdana" w:hAnsi="Verdana" w:cs="Verdana"/>
          <w:bCs/>
          <w:sz w:val="18"/>
          <w:szCs w:val="18"/>
        </w:rPr>
        <w:t xml:space="preserve"> heeft in deze context geen toegevoegde waarde en vervalt daarom</w:t>
      </w:r>
      <w:r w:rsidR="00510895" w:rsidRPr="00AD55C1">
        <w:rPr>
          <w:rFonts w:ascii="Verdana" w:hAnsi="Verdana" w:cs="Verdana"/>
          <w:bCs/>
          <w:sz w:val="18"/>
          <w:szCs w:val="18"/>
        </w:rPr>
        <w:t>.</w:t>
      </w:r>
    </w:p>
    <w:p w:rsidR="00510895" w:rsidRPr="00AD55C1" w:rsidRDefault="00510895" w:rsidP="00AD55C1">
      <w:pPr>
        <w:spacing w:line="260" w:lineRule="exact"/>
        <w:rPr>
          <w:rFonts w:ascii="Verdana" w:hAnsi="Verdana" w:cs="Verdana"/>
          <w:bCs/>
          <w:i/>
          <w:sz w:val="18"/>
          <w:szCs w:val="18"/>
        </w:rPr>
      </w:pPr>
    </w:p>
    <w:p w:rsidR="006514A2" w:rsidRPr="00AD55C1" w:rsidRDefault="006514A2" w:rsidP="00AD55C1">
      <w:pPr>
        <w:spacing w:line="260" w:lineRule="exact"/>
        <w:rPr>
          <w:rFonts w:ascii="Verdana" w:hAnsi="Verdana" w:cs="Verdana"/>
          <w:bCs/>
          <w:sz w:val="18"/>
          <w:szCs w:val="18"/>
        </w:rPr>
      </w:pPr>
      <w:r w:rsidRPr="00AD55C1">
        <w:rPr>
          <w:rStyle w:val="Nadrukcursief"/>
          <w:rFonts w:ascii="Verdana" w:hAnsi="Verdana"/>
          <w:iCs w:val="0"/>
          <w:sz w:val="18"/>
          <w:szCs w:val="18"/>
        </w:rPr>
        <w:t>A, onder 90 (artikel I, onderdeel DJ van de Implementatiewet richtlijn solvabiliteit II)</w:t>
      </w:r>
    </w:p>
    <w:p w:rsidR="006514A2" w:rsidRPr="00AD55C1" w:rsidRDefault="006514A2" w:rsidP="00AD55C1">
      <w:pPr>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Artikel I, onderdeel DJ, van de Implementatiewet richtlijn solvabiliteit II betreft artikel 3:269, tweede lid. Dit artikel ziet nu nog op alleen herverzekeraars, levensverzekeraars en schadeverzekeraars. De voorgestelde wijziging verruimt</w:t>
      </w:r>
    </w:p>
    <w:p w:rsidR="006514A2" w:rsidRPr="00AD55C1" w:rsidRDefault="006514A2" w:rsidP="00AD55C1">
      <w:pPr>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dit tot alle verzekeraars. </w:t>
      </w:r>
    </w:p>
    <w:p w:rsidR="006514A2" w:rsidRPr="00AD55C1" w:rsidRDefault="006514A2" w:rsidP="00AD55C1">
      <w:pPr>
        <w:spacing w:line="260" w:lineRule="exact"/>
        <w:rPr>
          <w:rStyle w:val="Nadrukcursief"/>
          <w:rFonts w:ascii="Verdana" w:hAnsi="Verdana"/>
          <w:i w:val="0"/>
          <w:iCs w:val="0"/>
          <w:sz w:val="18"/>
          <w:szCs w:val="18"/>
        </w:rPr>
      </w:pPr>
    </w:p>
    <w:p w:rsidR="003E52AA" w:rsidRPr="00AD55C1" w:rsidRDefault="003E52AA"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6514A2" w:rsidRPr="00AD55C1">
        <w:rPr>
          <w:rStyle w:val="Nadrukcursief"/>
          <w:rFonts w:ascii="Verdana" w:hAnsi="Verdana"/>
          <w:iCs w:val="0"/>
          <w:sz w:val="18"/>
          <w:szCs w:val="18"/>
        </w:rPr>
        <w:t>91</w:t>
      </w:r>
      <w:r w:rsidRPr="00AD55C1">
        <w:rPr>
          <w:rStyle w:val="Nadrukcursief"/>
          <w:rFonts w:ascii="Verdana" w:hAnsi="Verdana"/>
          <w:iCs w:val="0"/>
          <w:sz w:val="18"/>
          <w:szCs w:val="18"/>
        </w:rPr>
        <w:t xml:space="preserve"> (artikel I, onderdeel DK van de Implementatiewet richtlijn solvabiliteit II)</w:t>
      </w:r>
    </w:p>
    <w:p w:rsidR="003E52AA" w:rsidRPr="00AD55C1" w:rsidRDefault="0016117B" w:rsidP="00AD55C1">
      <w:pPr>
        <w:spacing w:line="260" w:lineRule="exact"/>
        <w:rPr>
          <w:rFonts w:ascii="Verdana" w:hAnsi="Verdana" w:cs="Verdana"/>
          <w:bCs/>
          <w:sz w:val="18"/>
          <w:szCs w:val="18"/>
        </w:rPr>
      </w:pPr>
      <w:r w:rsidRPr="00AD55C1">
        <w:rPr>
          <w:rStyle w:val="Nadrukcursief"/>
          <w:rFonts w:ascii="Verdana" w:hAnsi="Verdana"/>
          <w:i w:val="0"/>
          <w:iCs w:val="0"/>
          <w:sz w:val="18"/>
          <w:szCs w:val="18"/>
        </w:rPr>
        <w:t>Artikel I, onderdeel DK, van de Implementatiewet richtlijn solvabiliteit II betreft artikel 3:270 Wft.</w:t>
      </w:r>
      <w:r w:rsidRPr="00AD55C1">
        <w:rPr>
          <w:rFonts w:ascii="Verdana" w:hAnsi="Verdana" w:cs="Verdana"/>
          <w:bCs/>
          <w:sz w:val="18"/>
          <w:szCs w:val="18"/>
        </w:rPr>
        <w:t xml:space="preserve"> </w:t>
      </w:r>
      <w:r w:rsidR="003E52AA" w:rsidRPr="00AD55C1">
        <w:rPr>
          <w:rFonts w:ascii="Verdana" w:hAnsi="Verdana" w:cs="Verdana"/>
          <w:bCs/>
          <w:sz w:val="18"/>
          <w:szCs w:val="18"/>
        </w:rPr>
        <w:t>Als gevolg van het voorstel van implementatiewet richtlijn en verordening kapitaalvereisten (Kamerstukken II, 2013-14, 33</w:t>
      </w:r>
      <w:r w:rsidR="006B4A27" w:rsidRPr="00AD55C1">
        <w:rPr>
          <w:rFonts w:ascii="Verdana" w:hAnsi="Verdana" w:cs="Verdana"/>
          <w:bCs/>
          <w:sz w:val="18"/>
          <w:szCs w:val="18"/>
        </w:rPr>
        <w:t xml:space="preserve"> </w:t>
      </w:r>
      <w:r w:rsidR="003E52AA" w:rsidRPr="00AD55C1">
        <w:rPr>
          <w:rFonts w:ascii="Verdana" w:hAnsi="Verdana" w:cs="Verdana"/>
          <w:bCs/>
          <w:sz w:val="18"/>
          <w:szCs w:val="18"/>
        </w:rPr>
        <w:t xml:space="preserve">849, nr. 2) is het eerste lid </w:t>
      </w:r>
      <w:r w:rsidR="00EC4166" w:rsidRPr="00AD55C1">
        <w:rPr>
          <w:rFonts w:ascii="Verdana" w:hAnsi="Verdana" w:cs="Verdana"/>
          <w:bCs/>
          <w:sz w:val="18"/>
          <w:szCs w:val="18"/>
        </w:rPr>
        <w:t>van artikel 3:270</w:t>
      </w:r>
      <w:r w:rsidR="003E52AA" w:rsidRPr="00AD55C1">
        <w:rPr>
          <w:rFonts w:ascii="Verdana" w:hAnsi="Verdana" w:cs="Verdana"/>
          <w:bCs/>
          <w:sz w:val="18"/>
          <w:szCs w:val="18"/>
        </w:rPr>
        <w:t xml:space="preserve"> aangepast en het tweede lid vervallen. </w:t>
      </w:r>
      <w:r w:rsidR="003F6F05" w:rsidRPr="00AD55C1">
        <w:rPr>
          <w:rFonts w:ascii="Verdana" w:hAnsi="Verdana" w:cs="Verdana"/>
          <w:bCs/>
          <w:sz w:val="18"/>
          <w:szCs w:val="18"/>
        </w:rPr>
        <w:t xml:space="preserve">Bovendien kan de samenwerkingsbepaling zoals opgenomen in artikel 3:270, derde lid, Wft, zoals opgenomen in artikel I, onderdeel DK, </w:t>
      </w:r>
      <w:r w:rsidR="00F047D8" w:rsidRPr="00AD55C1">
        <w:rPr>
          <w:rFonts w:ascii="Verdana" w:hAnsi="Verdana" w:cs="Verdana"/>
          <w:bCs/>
          <w:sz w:val="18"/>
          <w:szCs w:val="18"/>
        </w:rPr>
        <w:t xml:space="preserve">van de </w:t>
      </w:r>
      <w:r w:rsidR="007C5AEB" w:rsidRPr="00AD55C1">
        <w:rPr>
          <w:rFonts w:ascii="Verdana" w:hAnsi="Verdana" w:cs="Verdana"/>
          <w:bCs/>
          <w:sz w:val="18"/>
          <w:szCs w:val="18"/>
        </w:rPr>
        <w:t>I</w:t>
      </w:r>
      <w:r w:rsidR="00F047D8" w:rsidRPr="00AD55C1">
        <w:rPr>
          <w:rFonts w:ascii="Verdana" w:hAnsi="Verdana" w:cs="Verdana"/>
          <w:bCs/>
          <w:sz w:val="18"/>
          <w:szCs w:val="18"/>
        </w:rPr>
        <w:t>mplementatiewet richtlijn solvabiliteit II, worden geïmplementeerd in de Regeling</w:t>
      </w:r>
      <w:r w:rsidR="00F047D8" w:rsidRPr="00AD55C1">
        <w:rPr>
          <w:rFonts w:ascii="Verdana" w:hAnsi="Verdana"/>
          <w:sz w:val="18"/>
          <w:szCs w:val="18"/>
        </w:rPr>
        <w:t xml:space="preserve"> taakuitoefening en grensoverschrijdende samenwerking financiële toezichthouders Wft</w:t>
      </w:r>
      <w:r w:rsidR="00F047D8" w:rsidRPr="00AD55C1">
        <w:rPr>
          <w:rFonts w:ascii="Verdana" w:hAnsi="Verdana" w:cs="Verdana"/>
          <w:bCs/>
          <w:sz w:val="18"/>
          <w:szCs w:val="18"/>
        </w:rPr>
        <w:t>.</w:t>
      </w:r>
      <w:r w:rsidR="00FE07B8" w:rsidRPr="00AD55C1">
        <w:rPr>
          <w:rFonts w:ascii="Verdana" w:hAnsi="Verdana" w:cs="Verdana"/>
          <w:bCs/>
          <w:sz w:val="18"/>
          <w:szCs w:val="18"/>
        </w:rPr>
        <w:t xml:space="preserve"> Tenslotte is het vierde lid strikt genomen niet nodig, zodat dat lid kan vervallen.</w:t>
      </w:r>
      <w:r w:rsidR="00F047D8" w:rsidRPr="00AD55C1">
        <w:rPr>
          <w:rFonts w:ascii="Verdana" w:hAnsi="Verdana" w:cs="Verdana"/>
          <w:bCs/>
          <w:sz w:val="18"/>
          <w:szCs w:val="18"/>
        </w:rPr>
        <w:t xml:space="preserve"> Gezien al deze veranderingen is het eenvoudiger artikel 3:270 Wft opnieuw vast te stellen.</w:t>
      </w:r>
    </w:p>
    <w:p w:rsidR="003E52AA" w:rsidRPr="00AD55C1" w:rsidRDefault="003E52AA" w:rsidP="00AD55C1">
      <w:pPr>
        <w:spacing w:line="260" w:lineRule="exact"/>
        <w:rPr>
          <w:rFonts w:ascii="Verdana" w:hAnsi="Verdana" w:cs="Verdana"/>
          <w:bCs/>
          <w:sz w:val="18"/>
          <w:szCs w:val="18"/>
        </w:rPr>
      </w:pPr>
    </w:p>
    <w:p w:rsidR="00A231FD" w:rsidRPr="00AD55C1" w:rsidRDefault="00A231FD"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B9033F" w:rsidRPr="00AD55C1">
        <w:rPr>
          <w:rStyle w:val="Nadrukcursief"/>
          <w:rFonts w:ascii="Verdana" w:hAnsi="Verdana"/>
          <w:iCs w:val="0"/>
          <w:sz w:val="18"/>
          <w:szCs w:val="18"/>
        </w:rPr>
        <w:t>9</w:t>
      </w:r>
      <w:r w:rsidR="00BE61DD" w:rsidRPr="00AD55C1">
        <w:rPr>
          <w:rStyle w:val="Nadrukcursief"/>
          <w:rFonts w:ascii="Verdana" w:hAnsi="Verdana"/>
          <w:iCs w:val="0"/>
          <w:sz w:val="18"/>
          <w:szCs w:val="18"/>
        </w:rPr>
        <w:t>2</w:t>
      </w:r>
      <w:r w:rsidRPr="00AD55C1">
        <w:rPr>
          <w:rStyle w:val="Nadrukcursief"/>
          <w:rFonts w:ascii="Verdana" w:hAnsi="Verdana"/>
          <w:iCs w:val="0"/>
          <w:sz w:val="18"/>
          <w:szCs w:val="18"/>
        </w:rPr>
        <w:t xml:space="preserve"> (artikel I, onderdeel DN, van de Implementatiewet richtlijn solvabiliteit II)</w:t>
      </w:r>
    </w:p>
    <w:p w:rsidR="00B9033F" w:rsidRPr="00AD55C1" w:rsidRDefault="00B9033F" w:rsidP="00AD55C1">
      <w:pPr>
        <w:spacing w:line="260" w:lineRule="exact"/>
        <w:rPr>
          <w:rFonts w:ascii="Verdana" w:hAnsi="Verdana"/>
          <w:b/>
          <w:sz w:val="18"/>
          <w:szCs w:val="18"/>
        </w:rPr>
      </w:pPr>
    </w:p>
    <w:p w:rsidR="00031325" w:rsidRPr="00AD55C1" w:rsidRDefault="00031325" w:rsidP="00AD55C1">
      <w:pPr>
        <w:spacing w:line="260" w:lineRule="exact"/>
        <w:rPr>
          <w:rFonts w:ascii="Verdana" w:hAnsi="Verdana"/>
          <w:sz w:val="18"/>
          <w:szCs w:val="18"/>
        </w:rPr>
      </w:pPr>
      <w:r w:rsidRPr="00AD55C1">
        <w:rPr>
          <w:rFonts w:ascii="Verdana" w:hAnsi="Verdana"/>
          <w:sz w:val="18"/>
          <w:szCs w:val="18"/>
        </w:rPr>
        <w:lastRenderedPageBreak/>
        <w:t>Onderdeel DN, onder a</w:t>
      </w:r>
      <w:r w:rsidR="006514A2" w:rsidRPr="00AD55C1">
        <w:rPr>
          <w:rFonts w:ascii="Verdana" w:hAnsi="Verdana"/>
          <w:sz w:val="18"/>
          <w:szCs w:val="18"/>
        </w:rPr>
        <w:t xml:space="preserve"> </w:t>
      </w:r>
      <w:r w:rsidRPr="00AD55C1">
        <w:rPr>
          <w:rFonts w:ascii="Verdana" w:hAnsi="Verdana"/>
          <w:sz w:val="18"/>
          <w:szCs w:val="18"/>
        </w:rPr>
        <w:t>(p</w:t>
      </w:r>
      <w:r w:rsidR="006514A2" w:rsidRPr="00AD55C1">
        <w:rPr>
          <w:rFonts w:ascii="Verdana" w:hAnsi="Verdana"/>
          <w:sz w:val="18"/>
          <w:szCs w:val="18"/>
        </w:rPr>
        <w:t>aragraaf 3.6.3.0)</w:t>
      </w:r>
      <w:r w:rsidRPr="00AD55C1">
        <w:rPr>
          <w:rFonts w:ascii="Verdana" w:hAnsi="Verdana"/>
          <w:sz w:val="18"/>
          <w:szCs w:val="18"/>
        </w:rPr>
        <w:t xml:space="preserve"> bewerkstelligt dat </w:t>
      </w:r>
      <w:r w:rsidR="006514A2" w:rsidRPr="00AD55C1">
        <w:rPr>
          <w:rFonts w:ascii="Verdana" w:hAnsi="Verdana"/>
          <w:sz w:val="18"/>
          <w:szCs w:val="18"/>
        </w:rPr>
        <w:t>verzekeraars met beperkte risico-omvang niet worden onderworpen aan het groepstoezicht ingevolge de richtlijn. In plaats daarvan zal het aanvullend toezicht op verzekeraars in een groep, zoals geregeld in de huidige afdeling 3.6.3, worden toegepast. Door de aanpassing van artikel I, onderdeel DN, van de Implementatiewet richtlijn solvabiliteit II komt duidelijker tot uitdrukking dat de nieuwe paragraaf 3.6.3.0 is geënt op de huidige afdeling 3.6.3. Aangezien het aanvullend toezicht alleen nog geldt voor verzekeraars die niet onder de richtlijn vallen</w:t>
      </w:r>
      <w:r w:rsidR="00E9676F">
        <w:rPr>
          <w:rFonts w:ascii="Verdana" w:hAnsi="Verdana"/>
          <w:sz w:val="18"/>
          <w:szCs w:val="18"/>
        </w:rPr>
        <w:t>,</w:t>
      </w:r>
      <w:r w:rsidR="006514A2" w:rsidRPr="00AD55C1">
        <w:rPr>
          <w:rFonts w:ascii="Verdana" w:hAnsi="Verdana"/>
          <w:sz w:val="18"/>
          <w:szCs w:val="18"/>
        </w:rPr>
        <w:t xml:space="preserve"> is het mogelijk te volstaan met minder en hier en daar vereenvoudigde artikelen. </w:t>
      </w:r>
    </w:p>
    <w:p w:rsidR="006514A2" w:rsidRPr="00AD55C1" w:rsidRDefault="006514A2" w:rsidP="00AD55C1">
      <w:pPr>
        <w:spacing w:line="260" w:lineRule="exact"/>
        <w:rPr>
          <w:rFonts w:ascii="Verdana" w:hAnsi="Verdana"/>
          <w:sz w:val="18"/>
          <w:szCs w:val="18"/>
          <w:u w:val="single"/>
        </w:rPr>
      </w:pPr>
      <w:r w:rsidRPr="00AD55C1">
        <w:rPr>
          <w:rFonts w:ascii="Verdana" w:hAnsi="Verdana"/>
          <w:sz w:val="18"/>
          <w:szCs w:val="18"/>
        </w:rPr>
        <w:t>Artikel 3:281 vervangt de huidige artikelen 3:282 en 3:283; artikel 3:281a vervangt het huidige artikel 3:284; en artikel 3:281b vervangt de huidige artikelen 3:285 en 3:286. Bij dit alles past de aantekening dat verzekeraars met beperkte risico-omvang zelden onderdeel zijn van een groep. Dit vloeit voort uit de aard en omvang van deze verzekeraars</w:t>
      </w:r>
      <w:r w:rsidR="00D46485">
        <w:rPr>
          <w:rFonts w:ascii="Verdana" w:hAnsi="Verdana"/>
          <w:sz w:val="18"/>
          <w:szCs w:val="18"/>
        </w:rPr>
        <w:t xml:space="preserve">. Bovendien kwalificeren leven- en schadeverzekeraars </w:t>
      </w:r>
      <w:r w:rsidRPr="00AD55C1">
        <w:rPr>
          <w:rFonts w:ascii="Verdana" w:hAnsi="Verdana"/>
          <w:sz w:val="18"/>
          <w:szCs w:val="18"/>
        </w:rPr>
        <w:t>die deel uitmak</w:t>
      </w:r>
      <w:r w:rsidR="00D46485">
        <w:rPr>
          <w:rFonts w:ascii="Verdana" w:hAnsi="Verdana"/>
          <w:sz w:val="18"/>
          <w:szCs w:val="18"/>
        </w:rPr>
        <w:t>en</w:t>
      </w:r>
      <w:r w:rsidRPr="00AD55C1">
        <w:rPr>
          <w:rFonts w:ascii="Verdana" w:hAnsi="Verdana"/>
          <w:sz w:val="18"/>
          <w:szCs w:val="18"/>
        </w:rPr>
        <w:t xml:space="preserve"> van een verzekeringsrichtlijngroep alleen al om die reden niet als verzekeraar</w:t>
      </w:r>
      <w:r w:rsidR="00D46485">
        <w:rPr>
          <w:rFonts w:ascii="Verdana" w:hAnsi="Verdana"/>
          <w:sz w:val="18"/>
          <w:szCs w:val="18"/>
        </w:rPr>
        <w:t>s</w:t>
      </w:r>
      <w:r w:rsidRPr="00AD55C1">
        <w:rPr>
          <w:rFonts w:ascii="Verdana" w:hAnsi="Verdana"/>
          <w:sz w:val="18"/>
          <w:szCs w:val="18"/>
        </w:rPr>
        <w:t xml:space="preserve"> met beperkte risico-omvang. </w:t>
      </w:r>
    </w:p>
    <w:p w:rsidR="006514A2" w:rsidRPr="00AD55C1" w:rsidRDefault="006514A2" w:rsidP="00AD55C1">
      <w:pPr>
        <w:spacing w:line="260" w:lineRule="exact"/>
        <w:rPr>
          <w:rFonts w:ascii="Verdana" w:hAnsi="Verdana"/>
          <w:sz w:val="18"/>
          <w:szCs w:val="18"/>
          <w:u w:val="single"/>
        </w:rPr>
      </w:pPr>
    </w:p>
    <w:p w:rsidR="00FE07B8" w:rsidRPr="00AD55C1" w:rsidRDefault="00031325" w:rsidP="00AD55C1">
      <w:pPr>
        <w:spacing w:line="260" w:lineRule="exact"/>
        <w:rPr>
          <w:rFonts w:ascii="Verdana" w:hAnsi="Verdana" w:cs="Verdana"/>
          <w:bCs/>
          <w:sz w:val="18"/>
          <w:szCs w:val="18"/>
        </w:rPr>
      </w:pPr>
      <w:r w:rsidRPr="00AD55C1">
        <w:rPr>
          <w:rFonts w:ascii="Verdana" w:hAnsi="Verdana"/>
          <w:sz w:val="18"/>
          <w:szCs w:val="18"/>
        </w:rPr>
        <w:t xml:space="preserve">Onderdeel DN, onder b, </w:t>
      </w:r>
      <w:r w:rsidR="0016117B" w:rsidRPr="00AD55C1">
        <w:rPr>
          <w:rStyle w:val="Nadrukcursief"/>
          <w:rFonts w:ascii="Verdana" w:hAnsi="Verdana"/>
          <w:i w:val="0"/>
          <w:iCs w:val="0"/>
          <w:sz w:val="18"/>
          <w:szCs w:val="18"/>
        </w:rPr>
        <w:t>II betreft artikel 3:283 Wft.</w:t>
      </w:r>
      <w:r w:rsidR="0016117B" w:rsidRPr="00AD55C1">
        <w:rPr>
          <w:rFonts w:ascii="Verdana" w:hAnsi="Verdana" w:cs="Verdana"/>
          <w:bCs/>
          <w:sz w:val="18"/>
          <w:szCs w:val="18"/>
        </w:rPr>
        <w:t xml:space="preserve"> </w:t>
      </w:r>
      <w:r w:rsidRPr="00AD55C1">
        <w:rPr>
          <w:rFonts w:ascii="Verdana" w:hAnsi="Verdana" w:cs="Verdana"/>
          <w:bCs/>
          <w:sz w:val="18"/>
          <w:szCs w:val="18"/>
        </w:rPr>
        <w:t xml:space="preserve">Dit </w:t>
      </w:r>
      <w:r w:rsidR="00FE07B8" w:rsidRPr="00AD55C1">
        <w:rPr>
          <w:rFonts w:ascii="Verdana" w:hAnsi="Verdana" w:cs="Verdana"/>
          <w:bCs/>
          <w:sz w:val="18"/>
          <w:szCs w:val="18"/>
        </w:rPr>
        <w:t xml:space="preserve">artikel </w:t>
      </w:r>
      <w:r w:rsidRPr="00AD55C1">
        <w:rPr>
          <w:rFonts w:ascii="Verdana" w:hAnsi="Verdana" w:cs="Verdana"/>
          <w:bCs/>
          <w:sz w:val="18"/>
          <w:szCs w:val="18"/>
        </w:rPr>
        <w:t xml:space="preserve">is </w:t>
      </w:r>
      <w:r w:rsidR="00FE07B8" w:rsidRPr="00AD55C1">
        <w:rPr>
          <w:rFonts w:ascii="Verdana" w:hAnsi="Verdana" w:cs="Verdana"/>
          <w:bCs/>
          <w:sz w:val="18"/>
          <w:szCs w:val="18"/>
        </w:rPr>
        <w:t>vereenvoudigd. Door de verwijzing naar artikel 247, derde tot en met zevende lid, van de richtlijn solvabiliteit II is voorzien in hetgeen nu in het huidige artikel is geregeld.</w:t>
      </w:r>
    </w:p>
    <w:p w:rsidR="00A231FD" w:rsidRPr="00AD55C1" w:rsidRDefault="00A231FD" w:rsidP="00AD55C1">
      <w:pPr>
        <w:spacing w:line="260" w:lineRule="exact"/>
        <w:rPr>
          <w:rFonts w:ascii="Verdana" w:hAnsi="Verdana" w:cs="Verdana"/>
          <w:bCs/>
          <w:sz w:val="18"/>
          <w:szCs w:val="18"/>
        </w:rPr>
      </w:pPr>
      <w:r w:rsidRPr="00AD55C1">
        <w:rPr>
          <w:rFonts w:ascii="Verdana" w:hAnsi="Verdana" w:cs="Verdana"/>
          <w:bCs/>
          <w:sz w:val="18"/>
          <w:szCs w:val="18"/>
        </w:rPr>
        <w:t xml:space="preserve">In onderdeel DN, onder </w:t>
      </w:r>
      <w:r w:rsidR="00031325" w:rsidRPr="00AD55C1">
        <w:rPr>
          <w:rFonts w:ascii="Verdana" w:hAnsi="Verdana" w:cs="Verdana"/>
          <w:bCs/>
          <w:sz w:val="18"/>
          <w:szCs w:val="18"/>
        </w:rPr>
        <w:t>e</w:t>
      </w:r>
      <w:r w:rsidRPr="00AD55C1">
        <w:rPr>
          <w:rFonts w:ascii="Verdana" w:hAnsi="Verdana" w:cs="Verdana"/>
          <w:bCs/>
          <w:sz w:val="18"/>
          <w:szCs w:val="18"/>
        </w:rPr>
        <w:t xml:space="preserve"> en </w:t>
      </w:r>
      <w:r w:rsidR="00031325" w:rsidRPr="00AD55C1">
        <w:rPr>
          <w:rFonts w:ascii="Verdana" w:hAnsi="Verdana" w:cs="Verdana"/>
          <w:bCs/>
          <w:sz w:val="18"/>
          <w:szCs w:val="18"/>
        </w:rPr>
        <w:t>m</w:t>
      </w:r>
      <w:r w:rsidRPr="00AD55C1">
        <w:rPr>
          <w:rFonts w:ascii="Verdana" w:hAnsi="Verdana" w:cs="Verdana"/>
          <w:bCs/>
          <w:sz w:val="18"/>
          <w:szCs w:val="18"/>
        </w:rPr>
        <w:t xml:space="preserve">, </w:t>
      </w:r>
      <w:r w:rsidR="00E9676F">
        <w:rPr>
          <w:rFonts w:ascii="Verdana" w:hAnsi="Verdana" w:cs="Verdana"/>
          <w:bCs/>
          <w:sz w:val="18"/>
          <w:szCs w:val="18"/>
        </w:rPr>
        <w:t xml:space="preserve">is verduidelijkt </w:t>
      </w:r>
      <w:r w:rsidRPr="00AD55C1">
        <w:rPr>
          <w:rFonts w:ascii="Verdana" w:hAnsi="Verdana" w:cs="Verdana"/>
          <w:bCs/>
          <w:sz w:val="18"/>
          <w:szCs w:val="18"/>
        </w:rPr>
        <w:t>dat de in de artikelen 3:286, eerste lid, en 3:288k, eerste lid, genoemde artikelen alleen van toepassing zijn</w:t>
      </w:r>
      <w:r w:rsidR="0062243D" w:rsidRPr="00AD55C1">
        <w:rPr>
          <w:rFonts w:ascii="Verdana" w:hAnsi="Verdana" w:cs="Verdana"/>
          <w:bCs/>
          <w:sz w:val="18"/>
          <w:szCs w:val="18"/>
        </w:rPr>
        <w:t xml:space="preserve"> </w:t>
      </w:r>
      <w:r w:rsidRPr="00AD55C1">
        <w:rPr>
          <w:rFonts w:ascii="Verdana" w:hAnsi="Verdana" w:cs="Verdana"/>
          <w:bCs/>
          <w:sz w:val="18"/>
          <w:szCs w:val="18"/>
        </w:rPr>
        <w:t>indien de Nederlandsche Bank groepstoezichthouder is.</w:t>
      </w:r>
    </w:p>
    <w:p w:rsidR="00123721" w:rsidRDefault="00DA6685" w:rsidP="00AD55C1">
      <w:pPr>
        <w:spacing w:line="260" w:lineRule="exact"/>
        <w:rPr>
          <w:rFonts w:ascii="Verdana" w:hAnsi="Verdana" w:cs="Verdana"/>
          <w:bCs/>
          <w:sz w:val="18"/>
          <w:szCs w:val="18"/>
        </w:rPr>
      </w:pPr>
      <w:r w:rsidRPr="00AD55C1">
        <w:rPr>
          <w:rFonts w:ascii="Verdana" w:hAnsi="Verdana" w:cs="Verdana"/>
          <w:bCs/>
          <w:sz w:val="18"/>
          <w:szCs w:val="18"/>
        </w:rPr>
        <w:t xml:space="preserve">Onderdeel DN, onder </w:t>
      </w:r>
      <w:r>
        <w:rPr>
          <w:rFonts w:ascii="Verdana" w:hAnsi="Verdana" w:cs="Verdana"/>
          <w:bCs/>
          <w:sz w:val="18"/>
          <w:szCs w:val="18"/>
        </w:rPr>
        <w:t>i,</w:t>
      </w:r>
      <w:r w:rsidRPr="00AD55C1">
        <w:rPr>
          <w:rFonts w:ascii="Verdana" w:hAnsi="Verdana" w:cs="Verdana"/>
          <w:bCs/>
          <w:sz w:val="18"/>
          <w:szCs w:val="18"/>
        </w:rPr>
        <w:t xml:space="preserve"> </w:t>
      </w:r>
      <w:r>
        <w:rPr>
          <w:rFonts w:ascii="Verdana" w:hAnsi="Verdana" w:cs="Verdana"/>
          <w:bCs/>
          <w:sz w:val="18"/>
          <w:szCs w:val="18"/>
        </w:rPr>
        <w:t xml:space="preserve">betreft </w:t>
      </w:r>
      <w:r w:rsidRPr="00AD55C1">
        <w:rPr>
          <w:rFonts w:ascii="Verdana" w:hAnsi="Verdana" w:cs="Verdana"/>
          <w:bCs/>
          <w:sz w:val="18"/>
          <w:szCs w:val="18"/>
        </w:rPr>
        <w:t>artikel 3:288</w:t>
      </w:r>
      <w:r>
        <w:rPr>
          <w:rFonts w:ascii="Verdana" w:hAnsi="Verdana" w:cs="Verdana"/>
          <w:bCs/>
          <w:sz w:val="18"/>
          <w:szCs w:val="18"/>
        </w:rPr>
        <w:t xml:space="preserve">b Wft. </w:t>
      </w:r>
      <w:r w:rsidR="00E7085F">
        <w:rPr>
          <w:rFonts w:ascii="Verdana" w:hAnsi="Verdana" w:cs="Verdana"/>
          <w:bCs/>
          <w:sz w:val="18"/>
          <w:szCs w:val="18"/>
        </w:rPr>
        <w:t xml:space="preserve">De aanvulling van het eerste lid is nodig met het oog op volledige implementatie van artikel 238 van de richtlijn solvabiliteit II. Ingevolge dat artikel moet DNB </w:t>
      </w:r>
      <w:r w:rsidR="002F4D6D">
        <w:rPr>
          <w:rFonts w:ascii="Verdana" w:hAnsi="Verdana" w:cs="Verdana"/>
          <w:bCs/>
          <w:sz w:val="18"/>
          <w:szCs w:val="18"/>
        </w:rPr>
        <w:t xml:space="preserve">in bepaalde gevallen </w:t>
      </w:r>
      <w:r>
        <w:rPr>
          <w:rFonts w:ascii="Verdana" w:hAnsi="Verdana" w:cs="Verdana"/>
          <w:bCs/>
          <w:sz w:val="18"/>
          <w:szCs w:val="18"/>
        </w:rPr>
        <w:t xml:space="preserve">niet alleen een kapitaalopslag op het sovabiliteitskapitaalvereiste kunnen opleggen, maar ook </w:t>
      </w:r>
      <w:r w:rsidR="00123721" w:rsidRPr="00123721">
        <w:rPr>
          <w:rFonts w:ascii="Verdana" w:hAnsi="Verdana" w:cs="Verdana"/>
          <w:bCs/>
          <w:sz w:val="18"/>
          <w:szCs w:val="18"/>
        </w:rPr>
        <w:t xml:space="preserve">in uitzonderlijke omstandigheden </w:t>
      </w:r>
      <w:r w:rsidR="00123721">
        <w:rPr>
          <w:rFonts w:ascii="Verdana" w:hAnsi="Verdana" w:cs="Verdana"/>
          <w:bCs/>
          <w:sz w:val="18"/>
          <w:szCs w:val="18"/>
        </w:rPr>
        <w:t xml:space="preserve">kunnen eisen </w:t>
      </w:r>
      <w:r w:rsidR="00123721" w:rsidRPr="00123721">
        <w:rPr>
          <w:rFonts w:ascii="Verdana" w:hAnsi="Verdana" w:cs="Verdana"/>
          <w:bCs/>
          <w:sz w:val="18"/>
          <w:szCs w:val="18"/>
        </w:rPr>
        <w:t>dat de verzekeraar zijn solvabiliteitskapitaalvereiste berekent op basis van de standaardformule</w:t>
      </w:r>
      <w:r w:rsidR="00123721">
        <w:rPr>
          <w:rFonts w:ascii="Verdana" w:hAnsi="Verdana" w:cs="Verdana"/>
          <w:bCs/>
          <w:sz w:val="18"/>
          <w:szCs w:val="18"/>
        </w:rPr>
        <w:t xml:space="preserve"> of </w:t>
      </w:r>
      <w:r w:rsidR="00123721" w:rsidRPr="00123721">
        <w:rPr>
          <w:rFonts w:ascii="Verdana" w:hAnsi="Verdana" w:cs="Verdana"/>
          <w:bCs/>
          <w:sz w:val="18"/>
          <w:szCs w:val="18"/>
        </w:rPr>
        <w:t>een onderset van de parameters die in de standaardformule voor de berekening word</w:t>
      </w:r>
      <w:r w:rsidR="00123721">
        <w:rPr>
          <w:rFonts w:ascii="Verdana" w:hAnsi="Verdana" w:cs="Verdana"/>
          <w:bCs/>
          <w:sz w:val="18"/>
          <w:szCs w:val="18"/>
        </w:rPr>
        <w:t>t</w:t>
      </w:r>
      <w:r w:rsidR="00123721" w:rsidRPr="00123721">
        <w:rPr>
          <w:rFonts w:ascii="Verdana" w:hAnsi="Verdana" w:cs="Verdana"/>
          <w:bCs/>
          <w:sz w:val="18"/>
          <w:szCs w:val="18"/>
        </w:rPr>
        <w:t xml:space="preserve"> gebruikt, vervangt door parameters die kenmerkend zijn voor die verzekeraar</w:t>
      </w:r>
      <w:r w:rsidR="00123721">
        <w:rPr>
          <w:rFonts w:ascii="Verdana" w:hAnsi="Verdana" w:cs="Verdana"/>
          <w:bCs/>
          <w:sz w:val="18"/>
          <w:szCs w:val="18"/>
        </w:rPr>
        <w:t>.</w:t>
      </w:r>
      <w:r w:rsidR="00123721" w:rsidRPr="00123721">
        <w:rPr>
          <w:rFonts w:ascii="Verdana" w:hAnsi="Verdana" w:cs="Verdana"/>
          <w:bCs/>
          <w:sz w:val="18"/>
          <w:szCs w:val="18"/>
        </w:rPr>
        <w:t xml:space="preserve"> </w:t>
      </w:r>
    </w:p>
    <w:p w:rsidR="002F4D6D" w:rsidRDefault="002F4D6D" w:rsidP="00AD55C1">
      <w:pPr>
        <w:spacing w:line="260" w:lineRule="exact"/>
        <w:rPr>
          <w:rFonts w:ascii="Verdana" w:hAnsi="Verdana" w:cs="Verdana"/>
          <w:bCs/>
          <w:sz w:val="18"/>
          <w:szCs w:val="18"/>
        </w:rPr>
      </w:pPr>
      <w:r>
        <w:rPr>
          <w:rFonts w:ascii="Verdana" w:hAnsi="Verdana" w:cs="Verdana"/>
          <w:bCs/>
          <w:sz w:val="18"/>
          <w:szCs w:val="18"/>
        </w:rPr>
        <w:t>In het derde lid wordt voorgesteld een niet noodzakelijke zinsnede te laten vervallen.</w:t>
      </w:r>
    </w:p>
    <w:p w:rsidR="006B75A2" w:rsidRPr="00AD55C1" w:rsidRDefault="00031325" w:rsidP="00AD55C1">
      <w:pPr>
        <w:spacing w:line="260" w:lineRule="exact"/>
        <w:rPr>
          <w:rFonts w:ascii="Verdana" w:hAnsi="Verdana" w:cs="Verdana"/>
          <w:bCs/>
          <w:sz w:val="18"/>
          <w:szCs w:val="18"/>
        </w:rPr>
      </w:pPr>
      <w:r w:rsidRPr="00AD55C1">
        <w:rPr>
          <w:rFonts w:ascii="Verdana" w:hAnsi="Verdana" w:cs="Verdana"/>
          <w:bCs/>
          <w:sz w:val="18"/>
          <w:szCs w:val="18"/>
        </w:rPr>
        <w:t xml:space="preserve">Onderdeel DN, onder k </w:t>
      </w:r>
      <w:r w:rsidR="00B5258C" w:rsidRPr="00AD55C1">
        <w:rPr>
          <w:rFonts w:ascii="Verdana" w:hAnsi="Verdana" w:cs="Verdana"/>
          <w:bCs/>
          <w:sz w:val="18"/>
          <w:szCs w:val="18"/>
        </w:rPr>
        <w:t xml:space="preserve">(artikel 3:288i) implementeert artikel 2, onderdeel 72, van de </w:t>
      </w:r>
      <w:r w:rsidR="00137ECF" w:rsidRPr="00AD55C1">
        <w:rPr>
          <w:rFonts w:ascii="Verdana" w:hAnsi="Verdana" w:cs="Verdana"/>
          <w:bCs/>
          <w:sz w:val="18"/>
          <w:szCs w:val="18"/>
        </w:rPr>
        <w:t>Omnibus II-richtlijn</w:t>
      </w:r>
      <w:r w:rsidR="00B5258C" w:rsidRPr="00AD55C1">
        <w:rPr>
          <w:rFonts w:ascii="Verdana" w:hAnsi="Verdana" w:cs="Verdana"/>
          <w:bCs/>
          <w:sz w:val="18"/>
          <w:szCs w:val="18"/>
        </w:rPr>
        <w:t>.</w:t>
      </w:r>
      <w:r w:rsidR="00AA6D06" w:rsidRPr="00AD55C1">
        <w:rPr>
          <w:rFonts w:ascii="Verdana" w:hAnsi="Verdana" w:cs="Verdana"/>
          <w:bCs/>
          <w:sz w:val="18"/>
          <w:szCs w:val="18"/>
        </w:rPr>
        <w:t xml:space="preserve"> De in artikel 3:288i, eerste lid, </w:t>
      </w:r>
      <w:r w:rsidR="003167F3" w:rsidRPr="00AD55C1">
        <w:rPr>
          <w:rFonts w:ascii="Verdana" w:hAnsi="Verdana" w:cs="Verdana"/>
          <w:bCs/>
          <w:sz w:val="18"/>
          <w:szCs w:val="18"/>
        </w:rPr>
        <w:t xml:space="preserve">onderdeel </w:t>
      </w:r>
      <w:r w:rsidR="00AA6D06" w:rsidRPr="00AD55C1">
        <w:rPr>
          <w:rFonts w:ascii="Verdana" w:hAnsi="Verdana" w:cs="Verdana"/>
          <w:bCs/>
          <w:sz w:val="18"/>
          <w:szCs w:val="18"/>
        </w:rPr>
        <w:t>b, van de Wft gebruikte term “materieel verbonden ondernemingen” ziet op ondernemingen die geen dochterondernemingen zijn, maar wel volwaardig onderdeel van de groep vormen.</w:t>
      </w:r>
      <w:r w:rsidR="006B75A2" w:rsidRPr="00AD55C1">
        <w:rPr>
          <w:rFonts w:ascii="Verdana" w:hAnsi="Verdana" w:cs="Verdana"/>
          <w:bCs/>
          <w:sz w:val="18"/>
          <w:szCs w:val="18"/>
        </w:rPr>
        <w:t xml:space="preserve"> </w:t>
      </w:r>
    </w:p>
    <w:p w:rsidR="00B5258C" w:rsidRPr="00AD55C1" w:rsidRDefault="006B75A2" w:rsidP="00AD55C1">
      <w:pPr>
        <w:spacing w:line="260" w:lineRule="exact"/>
        <w:rPr>
          <w:rFonts w:ascii="Verdana" w:hAnsi="Verdana" w:cs="Verdana"/>
          <w:bCs/>
          <w:sz w:val="18"/>
          <w:szCs w:val="18"/>
        </w:rPr>
      </w:pPr>
      <w:r w:rsidRPr="00AD55C1">
        <w:rPr>
          <w:rFonts w:ascii="Verdana" w:hAnsi="Verdana" w:cs="Verdana"/>
          <w:bCs/>
          <w:sz w:val="18"/>
          <w:szCs w:val="18"/>
        </w:rPr>
        <w:t>Voorts wordt in artikel 3:288i, vijfde lid (nieuw), verduidelijkt dat de eis van een rapport per verzekeraar over zijn solvabiliteit en financiële positie, opgenomen in artikel 3:73c, eerste lid, van de Wft vervalt indien op groepsniveau een dergelijk rapport wordt verstrekt.</w:t>
      </w:r>
    </w:p>
    <w:p w:rsidR="00600A32" w:rsidRPr="00AD55C1" w:rsidRDefault="00600A32" w:rsidP="00AD55C1">
      <w:pPr>
        <w:spacing w:line="260" w:lineRule="exact"/>
        <w:rPr>
          <w:rFonts w:ascii="Verdana" w:hAnsi="Verdana" w:cs="Verdana"/>
          <w:bCs/>
          <w:sz w:val="18"/>
          <w:szCs w:val="18"/>
        </w:rPr>
      </w:pPr>
      <w:r w:rsidRPr="00AD55C1">
        <w:rPr>
          <w:rFonts w:ascii="Verdana" w:hAnsi="Verdana" w:cs="Verdana"/>
          <w:bCs/>
          <w:sz w:val="18"/>
          <w:szCs w:val="18"/>
        </w:rPr>
        <w:t xml:space="preserve">Voorts zijn in onderdeel DN de samenwerkingsbepalingen vervallen. Zie voor een toelichting </w:t>
      </w:r>
      <w:r w:rsidR="00BE5BA1" w:rsidRPr="00AD55C1">
        <w:rPr>
          <w:rFonts w:ascii="Verdana" w:hAnsi="Verdana" w:cs="Verdana"/>
          <w:bCs/>
          <w:sz w:val="18"/>
          <w:szCs w:val="18"/>
        </w:rPr>
        <w:t xml:space="preserve">paragraaf 1 van </w:t>
      </w:r>
      <w:r w:rsidRPr="00AD55C1">
        <w:rPr>
          <w:rFonts w:ascii="Verdana" w:hAnsi="Verdana" w:cs="Verdana"/>
          <w:bCs/>
          <w:sz w:val="18"/>
          <w:szCs w:val="18"/>
        </w:rPr>
        <w:t>het algemeen deel van de toelichting.</w:t>
      </w:r>
    </w:p>
    <w:p w:rsidR="005A24B3" w:rsidRPr="00AD55C1" w:rsidRDefault="005A24B3" w:rsidP="00AD55C1">
      <w:pPr>
        <w:spacing w:line="260" w:lineRule="exact"/>
        <w:rPr>
          <w:rFonts w:ascii="Verdana" w:hAnsi="Verdana" w:cs="Verdana"/>
          <w:bCs/>
          <w:sz w:val="18"/>
          <w:szCs w:val="18"/>
        </w:rPr>
      </w:pPr>
    </w:p>
    <w:p w:rsidR="005A24B3" w:rsidRPr="00AD55C1" w:rsidRDefault="005A24B3" w:rsidP="00AD55C1">
      <w:pPr>
        <w:spacing w:line="260" w:lineRule="exact"/>
        <w:rPr>
          <w:rFonts w:ascii="Verdana" w:hAnsi="Verdana" w:cs="Verdana"/>
          <w:bCs/>
          <w:sz w:val="18"/>
          <w:szCs w:val="18"/>
        </w:rPr>
      </w:pPr>
      <w:r w:rsidRPr="00AD55C1">
        <w:rPr>
          <w:rStyle w:val="Nadrukcursief"/>
          <w:rFonts w:ascii="Verdana" w:hAnsi="Verdana"/>
          <w:iCs w:val="0"/>
          <w:sz w:val="18"/>
          <w:szCs w:val="18"/>
        </w:rPr>
        <w:t xml:space="preserve">A, onder </w:t>
      </w:r>
      <w:r w:rsidR="002045EC" w:rsidRPr="00AD55C1">
        <w:rPr>
          <w:rStyle w:val="Nadrukcursief"/>
          <w:rFonts w:ascii="Verdana" w:hAnsi="Verdana"/>
          <w:iCs w:val="0"/>
          <w:sz w:val="18"/>
          <w:szCs w:val="18"/>
        </w:rPr>
        <w:t>93</w:t>
      </w:r>
      <w:r w:rsidRPr="00AD55C1">
        <w:rPr>
          <w:rStyle w:val="Nadrukcursief"/>
          <w:rFonts w:ascii="Verdana" w:hAnsi="Verdana"/>
          <w:iCs w:val="0"/>
          <w:sz w:val="18"/>
          <w:szCs w:val="18"/>
        </w:rPr>
        <w:t xml:space="preserve"> (artikel I, onderdelen DO, DP, DQ en DS van de Implementatiewet richtlijn solvabiliteit II) </w:t>
      </w:r>
    </w:p>
    <w:p w:rsidR="005A24B3" w:rsidRPr="00AD55C1" w:rsidRDefault="0016117B" w:rsidP="00AD55C1">
      <w:pPr>
        <w:spacing w:line="260" w:lineRule="exact"/>
        <w:rPr>
          <w:rFonts w:ascii="Verdana" w:hAnsi="Verdana" w:cs="Verdana"/>
          <w:bCs/>
          <w:sz w:val="18"/>
          <w:szCs w:val="18"/>
        </w:rPr>
      </w:pPr>
      <w:r w:rsidRPr="00AD55C1">
        <w:rPr>
          <w:rStyle w:val="Nadrukcursief"/>
          <w:rFonts w:ascii="Verdana" w:hAnsi="Verdana"/>
          <w:i w:val="0"/>
          <w:iCs w:val="0"/>
          <w:sz w:val="18"/>
          <w:szCs w:val="18"/>
        </w:rPr>
        <w:t>Artikel I, onderdelen DO, DP, DQ en DS van de Implementatiewet richtlijn solvabiliteit II, betreft de artikelen 3:289, 3:290, 3:295 en 3:299 van de Wft.</w:t>
      </w:r>
      <w:r w:rsidRPr="00AD55C1">
        <w:rPr>
          <w:rFonts w:ascii="Verdana" w:hAnsi="Verdana" w:cs="Verdana"/>
          <w:bCs/>
          <w:sz w:val="18"/>
          <w:szCs w:val="18"/>
        </w:rPr>
        <w:t xml:space="preserve"> </w:t>
      </w:r>
      <w:r w:rsidR="005A24B3" w:rsidRPr="00AD55C1">
        <w:rPr>
          <w:rFonts w:ascii="Verdana" w:hAnsi="Verdana" w:cs="Verdana"/>
          <w:bCs/>
          <w:sz w:val="18"/>
          <w:szCs w:val="18"/>
        </w:rPr>
        <w:lastRenderedPageBreak/>
        <w:t xml:space="preserve">De wijzigingen </w:t>
      </w:r>
      <w:r w:rsidR="00164ADC" w:rsidRPr="00AD55C1">
        <w:rPr>
          <w:rFonts w:ascii="Verdana" w:hAnsi="Verdana" w:cs="Verdana"/>
          <w:bCs/>
          <w:sz w:val="18"/>
          <w:szCs w:val="18"/>
        </w:rPr>
        <w:t xml:space="preserve">die de </w:t>
      </w:r>
      <w:r w:rsidR="00BE5BA1" w:rsidRPr="00AD55C1">
        <w:rPr>
          <w:rFonts w:ascii="Verdana" w:hAnsi="Verdana" w:cs="Verdana"/>
          <w:bCs/>
          <w:sz w:val="18"/>
          <w:szCs w:val="18"/>
        </w:rPr>
        <w:t>I</w:t>
      </w:r>
      <w:r w:rsidR="00164ADC" w:rsidRPr="00AD55C1">
        <w:rPr>
          <w:rFonts w:ascii="Verdana" w:hAnsi="Verdana" w:cs="Verdana"/>
          <w:bCs/>
          <w:sz w:val="18"/>
          <w:szCs w:val="18"/>
        </w:rPr>
        <w:t xml:space="preserve">mplementatiewet richtlijn solvabiliteit II aanbrengt, </w:t>
      </w:r>
      <w:r w:rsidR="005A24B3" w:rsidRPr="00AD55C1">
        <w:rPr>
          <w:rFonts w:ascii="Verdana" w:hAnsi="Verdana" w:cs="Verdana"/>
          <w:bCs/>
          <w:sz w:val="18"/>
          <w:szCs w:val="18"/>
        </w:rPr>
        <w:t xml:space="preserve">zijn </w:t>
      </w:r>
      <w:r w:rsidR="00164ADC" w:rsidRPr="00AD55C1">
        <w:rPr>
          <w:rFonts w:ascii="Verdana" w:hAnsi="Verdana" w:cs="Verdana"/>
          <w:bCs/>
          <w:sz w:val="18"/>
          <w:szCs w:val="18"/>
        </w:rPr>
        <w:t xml:space="preserve">inmiddels achterhaald </w:t>
      </w:r>
      <w:r w:rsidR="005A24B3" w:rsidRPr="00AD55C1">
        <w:rPr>
          <w:rFonts w:ascii="Verdana" w:hAnsi="Verdana" w:cs="Verdana"/>
          <w:bCs/>
          <w:sz w:val="18"/>
          <w:szCs w:val="18"/>
        </w:rPr>
        <w:t xml:space="preserve">door </w:t>
      </w:r>
      <w:r w:rsidR="00164ADC" w:rsidRPr="00AD55C1">
        <w:rPr>
          <w:rFonts w:ascii="Verdana" w:hAnsi="Verdana" w:cs="Verdana"/>
          <w:bCs/>
          <w:sz w:val="18"/>
          <w:szCs w:val="18"/>
        </w:rPr>
        <w:t xml:space="preserve">artikel II, onderdeel K, van </w:t>
      </w:r>
      <w:r w:rsidR="005A24B3" w:rsidRPr="00AD55C1">
        <w:rPr>
          <w:rFonts w:ascii="Verdana" w:hAnsi="Verdana" w:cs="Verdana"/>
          <w:bCs/>
          <w:sz w:val="18"/>
          <w:szCs w:val="18"/>
        </w:rPr>
        <w:t>de Implementatiewet richtlijn financiële conglomeraten I.</w:t>
      </w:r>
    </w:p>
    <w:p w:rsidR="00C2321E" w:rsidRPr="00AD55C1" w:rsidRDefault="00C2321E" w:rsidP="00AD55C1">
      <w:pPr>
        <w:spacing w:line="260" w:lineRule="exact"/>
        <w:rPr>
          <w:rFonts w:ascii="Verdana" w:hAnsi="Verdana"/>
          <w:i/>
          <w:sz w:val="18"/>
          <w:szCs w:val="18"/>
        </w:rPr>
      </w:pPr>
    </w:p>
    <w:p w:rsidR="002045EC" w:rsidRPr="00AD55C1" w:rsidRDefault="002045EC" w:rsidP="00AD55C1">
      <w:pPr>
        <w:spacing w:line="260" w:lineRule="exact"/>
        <w:rPr>
          <w:rFonts w:ascii="Verdana" w:hAnsi="Verdana" w:cs="Verdana"/>
          <w:bCs/>
          <w:sz w:val="18"/>
          <w:szCs w:val="18"/>
        </w:rPr>
      </w:pPr>
      <w:r w:rsidRPr="00AD55C1">
        <w:rPr>
          <w:rStyle w:val="Nadrukcursief"/>
          <w:rFonts w:ascii="Verdana" w:hAnsi="Verdana"/>
          <w:iCs w:val="0"/>
          <w:sz w:val="18"/>
          <w:szCs w:val="18"/>
        </w:rPr>
        <w:t>A, onder 9</w:t>
      </w:r>
      <w:r w:rsidR="00BF0A87" w:rsidRPr="00AD55C1">
        <w:rPr>
          <w:rStyle w:val="Nadrukcursief"/>
          <w:rFonts w:ascii="Verdana" w:hAnsi="Verdana"/>
          <w:iCs w:val="0"/>
          <w:sz w:val="18"/>
          <w:szCs w:val="18"/>
        </w:rPr>
        <w:t>4</w:t>
      </w:r>
      <w:r w:rsidRPr="00AD55C1">
        <w:rPr>
          <w:rStyle w:val="Nadrukcursief"/>
          <w:rFonts w:ascii="Verdana" w:hAnsi="Verdana"/>
          <w:iCs w:val="0"/>
          <w:sz w:val="18"/>
          <w:szCs w:val="18"/>
        </w:rPr>
        <w:t xml:space="preserve"> (artikel I, onderd</w:t>
      </w:r>
      <w:r w:rsidR="00BF0A87" w:rsidRPr="00AD55C1">
        <w:rPr>
          <w:rStyle w:val="Nadrukcursief"/>
          <w:rFonts w:ascii="Verdana" w:hAnsi="Verdana"/>
          <w:iCs w:val="0"/>
          <w:sz w:val="18"/>
          <w:szCs w:val="18"/>
        </w:rPr>
        <w:t>e</w:t>
      </w:r>
      <w:r w:rsidRPr="00AD55C1">
        <w:rPr>
          <w:rStyle w:val="Nadrukcursief"/>
          <w:rFonts w:ascii="Verdana" w:hAnsi="Verdana"/>
          <w:iCs w:val="0"/>
          <w:sz w:val="18"/>
          <w:szCs w:val="18"/>
        </w:rPr>
        <w:t>e</w:t>
      </w:r>
      <w:r w:rsidR="00BF0A87" w:rsidRPr="00AD55C1">
        <w:rPr>
          <w:rStyle w:val="Nadrukcursief"/>
          <w:rFonts w:ascii="Verdana" w:hAnsi="Verdana"/>
          <w:iCs w:val="0"/>
          <w:sz w:val="18"/>
          <w:szCs w:val="18"/>
        </w:rPr>
        <w:t>l</w:t>
      </w:r>
      <w:r w:rsidRPr="00AD55C1">
        <w:rPr>
          <w:rStyle w:val="Nadrukcursief"/>
          <w:rFonts w:ascii="Verdana" w:hAnsi="Verdana"/>
          <w:iCs w:val="0"/>
          <w:sz w:val="18"/>
          <w:szCs w:val="18"/>
        </w:rPr>
        <w:t xml:space="preserve"> D</w:t>
      </w:r>
      <w:r w:rsidR="00BF0A87" w:rsidRPr="00AD55C1">
        <w:rPr>
          <w:rStyle w:val="Nadrukcursief"/>
          <w:rFonts w:ascii="Verdana" w:hAnsi="Verdana"/>
          <w:iCs w:val="0"/>
          <w:sz w:val="18"/>
          <w:szCs w:val="18"/>
        </w:rPr>
        <w:t>Ta, van</w:t>
      </w:r>
      <w:r w:rsidRPr="00AD55C1">
        <w:rPr>
          <w:rStyle w:val="Nadrukcursief"/>
          <w:rFonts w:ascii="Verdana" w:hAnsi="Verdana"/>
          <w:iCs w:val="0"/>
          <w:sz w:val="18"/>
          <w:szCs w:val="18"/>
        </w:rPr>
        <w:t xml:space="preserve"> de Implementatiewet richtlijn solvabiliteit II) </w:t>
      </w:r>
    </w:p>
    <w:p w:rsidR="00C2321E" w:rsidRPr="00AD55C1" w:rsidRDefault="00C2321E" w:rsidP="00AD55C1">
      <w:pPr>
        <w:spacing w:line="260" w:lineRule="exact"/>
        <w:rPr>
          <w:rFonts w:ascii="Verdana" w:hAnsi="Verdana"/>
          <w:sz w:val="18"/>
          <w:szCs w:val="18"/>
        </w:rPr>
      </w:pPr>
      <w:r w:rsidRPr="00AD55C1">
        <w:rPr>
          <w:rFonts w:ascii="Verdana" w:hAnsi="Verdana"/>
          <w:sz w:val="18"/>
          <w:szCs w:val="18"/>
        </w:rPr>
        <w:t xml:space="preserve">De wijzigingen in artikel 5:16 Wft dienen ter implementatie van artikel 1, eerste lid, van de Omnibus II-richtlijn. Het betreft een wijziging van de </w:t>
      </w:r>
      <w:r w:rsidR="00BF0A87" w:rsidRPr="00AD55C1">
        <w:rPr>
          <w:rFonts w:ascii="Verdana" w:hAnsi="Verdana"/>
          <w:sz w:val="18"/>
          <w:szCs w:val="18"/>
        </w:rPr>
        <w:t>p</w:t>
      </w:r>
      <w:r w:rsidRPr="00AD55C1">
        <w:rPr>
          <w:rFonts w:ascii="Verdana" w:hAnsi="Verdana"/>
          <w:sz w:val="18"/>
          <w:szCs w:val="18"/>
        </w:rPr>
        <w:t xml:space="preserve">rospectusrichtlijn. Deze wijzigingen brengen mee dat de AFM de definitieve voorwaarden dient mee te delen aan ESMA en dat de AFM - en niet langer de uitgevende instelling - de definitieve voorwaarden deponeert bij de toezichthoudende instanties van de andere lidstaten. </w:t>
      </w:r>
    </w:p>
    <w:p w:rsidR="005A24B3" w:rsidRPr="00AD55C1" w:rsidRDefault="005A24B3" w:rsidP="00AD55C1">
      <w:pPr>
        <w:spacing w:line="260" w:lineRule="exact"/>
        <w:rPr>
          <w:rFonts w:ascii="Verdana" w:hAnsi="Verdana" w:cs="Verdana"/>
          <w:bCs/>
          <w:sz w:val="18"/>
          <w:szCs w:val="18"/>
        </w:rPr>
      </w:pPr>
    </w:p>
    <w:p w:rsidR="005A24B3" w:rsidRPr="00AD55C1" w:rsidRDefault="005A24B3"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 onder </w:t>
      </w:r>
      <w:r w:rsidR="00BF0A87" w:rsidRPr="00AD55C1">
        <w:rPr>
          <w:rStyle w:val="Nadrukcursief"/>
          <w:rFonts w:ascii="Verdana" w:hAnsi="Verdana"/>
          <w:iCs w:val="0"/>
          <w:sz w:val="18"/>
          <w:szCs w:val="18"/>
        </w:rPr>
        <w:t>95</w:t>
      </w:r>
      <w:r w:rsidRPr="00AD55C1">
        <w:rPr>
          <w:rStyle w:val="Nadrukcursief"/>
          <w:rFonts w:ascii="Verdana" w:hAnsi="Verdana"/>
          <w:iCs w:val="0"/>
          <w:sz w:val="18"/>
          <w:szCs w:val="18"/>
        </w:rPr>
        <w:t xml:space="preserve"> en </w:t>
      </w:r>
      <w:r w:rsidR="00BF0A87" w:rsidRPr="00AD55C1">
        <w:rPr>
          <w:rStyle w:val="Nadrukcursief"/>
          <w:rFonts w:ascii="Verdana" w:hAnsi="Verdana"/>
          <w:iCs w:val="0"/>
          <w:sz w:val="18"/>
          <w:szCs w:val="18"/>
        </w:rPr>
        <w:t>96</w:t>
      </w:r>
      <w:r w:rsidRPr="00AD55C1">
        <w:rPr>
          <w:rStyle w:val="Nadrukcursief"/>
          <w:rFonts w:ascii="Verdana" w:hAnsi="Verdana"/>
          <w:iCs w:val="0"/>
          <w:sz w:val="18"/>
          <w:szCs w:val="18"/>
        </w:rPr>
        <w:t xml:space="preserve"> (artikel I, onderdelen DU en DV, van de Implementatiewet richtlijn solvabiliteit II)</w:t>
      </w:r>
    </w:p>
    <w:p w:rsidR="005A24B3" w:rsidRPr="00AD55C1" w:rsidRDefault="0016117B"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 xml:space="preserve">Artikel I, onderdelen DU en DV, van de Implementatiewet richtlijn solvabiliteit II betreft de bijlage bij de artikelen 1:79 en 1:80 Wft. </w:t>
      </w:r>
      <w:r w:rsidR="005A24B3" w:rsidRPr="00AD55C1">
        <w:rPr>
          <w:rStyle w:val="Nadrukcursief"/>
          <w:rFonts w:ascii="Verdana" w:hAnsi="Verdana"/>
          <w:i w:val="0"/>
          <w:iCs w:val="0"/>
          <w:sz w:val="18"/>
          <w:szCs w:val="18"/>
        </w:rPr>
        <w:t>In de onderdelen DU en DV worden enkele verwijzingen verbeterd.</w:t>
      </w:r>
    </w:p>
    <w:p w:rsidR="00D7782B" w:rsidRPr="00AD55C1" w:rsidRDefault="00D7782B" w:rsidP="00AD55C1">
      <w:pPr>
        <w:spacing w:line="260" w:lineRule="exact"/>
        <w:rPr>
          <w:rFonts w:ascii="Verdana" w:hAnsi="Verdana"/>
          <w:sz w:val="18"/>
          <w:szCs w:val="18"/>
        </w:rPr>
      </w:pPr>
    </w:p>
    <w:p w:rsidR="00D7782B" w:rsidRPr="00AD55C1" w:rsidRDefault="00D7782B"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Artikel I, onderdeel </w:t>
      </w:r>
      <w:r w:rsidR="00BF0A87" w:rsidRPr="00AD55C1">
        <w:rPr>
          <w:rStyle w:val="Nadrukcursief"/>
          <w:rFonts w:ascii="Verdana" w:hAnsi="Verdana"/>
          <w:iCs w:val="0"/>
          <w:sz w:val="18"/>
          <w:szCs w:val="18"/>
        </w:rPr>
        <w:t>B</w:t>
      </w:r>
      <w:r w:rsidRPr="00AD55C1">
        <w:rPr>
          <w:rStyle w:val="Nadrukcursief"/>
          <w:rFonts w:ascii="Verdana" w:hAnsi="Verdana"/>
          <w:iCs w:val="0"/>
          <w:sz w:val="18"/>
          <w:szCs w:val="18"/>
        </w:rPr>
        <w:t xml:space="preserve"> (artikel VIIIA van de Implementatiewet richtlijn solvabiliteit II)</w:t>
      </w:r>
    </w:p>
    <w:p w:rsidR="00D7782B" w:rsidRPr="00AD55C1" w:rsidRDefault="00D7782B" w:rsidP="00AD55C1">
      <w:pPr>
        <w:pStyle w:val="Default"/>
        <w:widowControl w:val="0"/>
        <w:spacing w:line="260" w:lineRule="exact"/>
        <w:rPr>
          <w:rStyle w:val="Nadrukcursief"/>
          <w:rFonts w:ascii="Verdana" w:hAnsi="Verdana"/>
          <w:i w:val="0"/>
          <w:sz w:val="18"/>
          <w:szCs w:val="18"/>
        </w:rPr>
      </w:pPr>
      <w:r w:rsidRPr="00AD55C1">
        <w:rPr>
          <w:rStyle w:val="Nadrukcursief"/>
          <w:rFonts w:ascii="Verdana" w:hAnsi="Verdana"/>
          <w:i w:val="0"/>
          <w:sz w:val="18"/>
          <w:szCs w:val="18"/>
        </w:rPr>
        <w:t xml:space="preserve">Deze wijzigingen behelzen geen materiële aanpassingen. Levensverzekeraars en schadeverzekeraars </w:t>
      </w:r>
      <w:r w:rsidR="00BF0A87" w:rsidRPr="00AD55C1">
        <w:rPr>
          <w:rStyle w:val="Nadrukcursief"/>
          <w:rFonts w:ascii="Verdana" w:hAnsi="Verdana"/>
          <w:i w:val="0"/>
          <w:sz w:val="18"/>
          <w:szCs w:val="18"/>
        </w:rPr>
        <w:t xml:space="preserve">met beperkte risico-omvang </w:t>
      </w:r>
      <w:r w:rsidRPr="00AD55C1">
        <w:rPr>
          <w:rStyle w:val="Nadrukcursief"/>
          <w:rFonts w:ascii="Verdana" w:hAnsi="Verdana"/>
          <w:i w:val="0"/>
          <w:sz w:val="18"/>
          <w:szCs w:val="18"/>
        </w:rPr>
        <w:t>zullen voortaan worden ondergebracht bij natura-uitvaartverzekeraars, maar met betrekking tot de kostentoedeling verandert er niets en worden zij dus niet gelijkgeschakeld met natura-uitvaartverzekeraars.</w:t>
      </w:r>
    </w:p>
    <w:p w:rsidR="00B73FA7" w:rsidRPr="00AD55C1" w:rsidRDefault="00B73FA7" w:rsidP="00AD55C1">
      <w:pPr>
        <w:spacing w:line="260" w:lineRule="exact"/>
        <w:rPr>
          <w:rStyle w:val="Nadrukcursief"/>
          <w:rFonts w:ascii="Verdana" w:hAnsi="Verdana"/>
          <w:iCs w:val="0"/>
          <w:sz w:val="18"/>
          <w:szCs w:val="18"/>
        </w:rPr>
      </w:pPr>
    </w:p>
    <w:p w:rsidR="00B73FA7" w:rsidRPr="00AD55C1" w:rsidRDefault="00B73FA7" w:rsidP="00AD55C1">
      <w:pPr>
        <w:pStyle w:val="Default"/>
        <w:widowControl w:val="0"/>
        <w:spacing w:line="260" w:lineRule="exact"/>
        <w:rPr>
          <w:rStyle w:val="Nadrukcursief"/>
          <w:rFonts w:ascii="Verdana" w:hAnsi="Verdana"/>
          <w:iCs w:val="0"/>
          <w:sz w:val="18"/>
          <w:szCs w:val="18"/>
        </w:rPr>
      </w:pPr>
      <w:r w:rsidRPr="00AD55C1">
        <w:rPr>
          <w:rStyle w:val="Nadrukcursief"/>
          <w:rFonts w:ascii="Verdana" w:hAnsi="Verdana"/>
          <w:iCs w:val="0"/>
          <w:sz w:val="18"/>
          <w:szCs w:val="18"/>
        </w:rPr>
        <w:t xml:space="preserve">Artikel I, onderdeel </w:t>
      </w:r>
      <w:r w:rsidR="00BF0A87" w:rsidRPr="00AD55C1">
        <w:rPr>
          <w:rStyle w:val="Nadrukcursief"/>
          <w:rFonts w:ascii="Verdana" w:hAnsi="Verdana"/>
          <w:iCs w:val="0"/>
          <w:sz w:val="18"/>
          <w:szCs w:val="18"/>
        </w:rPr>
        <w:t>D</w:t>
      </w:r>
      <w:r w:rsidRPr="00AD55C1">
        <w:rPr>
          <w:rStyle w:val="Nadrukcursief"/>
          <w:rFonts w:ascii="Verdana" w:hAnsi="Verdana"/>
          <w:iCs w:val="0"/>
          <w:sz w:val="18"/>
          <w:szCs w:val="18"/>
        </w:rPr>
        <w:t xml:space="preserve"> (artikel XI van de Implementatiewet richtlijn solvabiliteit II)</w:t>
      </w:r>
    </w:p>
    <w:p w:rsidR="00FF78D2" w:rsidRPr="00AD55C1" w:rsidRDefault="00FF78D2" w:rsidP="00AD55C1">
      <w:pPr>
        <w:pStyle w:val="Default"/>
        <w:widowControl w:val="0"/>
        <w:spacing w:line="260" w:lineRule="exact"/>
        <w:rPr>
          <w:rFonts w:ascii="Verdana" w:eastAsia="Times New Roman" w:hAnsi="Verdana" w:cs="Arial"/>
          <w:color w:val="2F2F2F"/>
          <w:sz w:val="18"/>
          <w:szCs w:val="18"/>
        </w:rPr>
      </w:pPr>
      <w:r w:rsidRPr="00AD55C1">
        <w:rPr>
          <w:rFonts w:ascii="Verdana" w:eastAsia="Times New Roman" w:hAnsi="Verdana" w:cs="Arial"/>
          <w:color w:val="2F2F2F"/>
          <w:sz w:val="18"/>
          <w:szCs w:val="18"/>
        </w:rPr>
        <w:t xml:space="preserve">In artikel XI, eerste, tweede en vijfde lid, is een verwijzing aangepast. </w:t>
      </w:r>
    </w:p>
    <w:p w:rsidR="00FF78D2" w:rsidRPr="00AD55C1" w:rsidRDefault="00FF78D2" w:rsidP="00AD55C1">
      <w:pPr>
        <w:pStyle w:val="Default"/>
        <w:widowControl w:val="0"/>
        <w:spacing w:line="260" w:lineRule="exact"/>
        <w:rPr>
          <w:rFonts w:ascii="Verdana" w:eastAsia="Times New Roman" w:hAnsi="Verdana" w:cs="Arial"/>
          <w:color w:val="2F2F2F"/>
          <w:sz w:val="18"/>
          <w:szCs w:val="18"/>
        </w:rPr>
      </w:pPr>
      <w:r w:rsidRPr="00AD55C1">
        <w:rPr>
          <w:rFonts w:ascii="Verdana" w:eastAsia="Times New Roman" w:hAnsi="Verdana" w:cs="Arial"/>
          <w:color w:val="2F2F2F"/>
          <w:sz w:val="18"/>
          <w:szCs w:val="18"/>
        </w:rPr>
        <w:t>Ter wille van de duidelijkheid is in het nieuwe derde lid het huidige derde en vierde lid opgenomen, waarbij de volgorde is omgedraaid. Voorts is in het derde lid bepaald dat de verklaring als een vergunning geldt, waarbij de betrokken verzekeraar dient aan te geven welke vergunning(en) (de vergunning, bedoeld in artikel 2:75, eerste lid</w:t>
      </w:r>
      <w:r w:rsidR="001A3EBC">
        <w:rPr>
          <w:rFonts w:ascii="Verdana" w:eastAsia="Times New Roman" w:hAnsi="Verdana" w:cs="Arial"/>
          <w:color w:val="2F2F2F"/>
          <w:sz w:val="18"/>
          <w:szCs w:val="18"/>
        </w:rPr>
        <w:t>,</w:t>
      </w:r>
      <w:r w:rsidRPr="00AD55C1">
        <w:rPr>
          <w:rFonts w:ascii="Verdana" w:eastAsia="Times New Roman" w:hAnsi="Verdana" w:cs="Arial"/>
          <w:color w:val="2F2F2F"/>
          <w:sz w:val="18"/>
          <w:szCs w:val="18"/>
        </w:rPr>
        <w:t xml:space="preserve"> of artikel 2:80, eerste lid</w:t>
      </w:r>
      <w:r w:rsidR="001A3EBC">
        <w:rPr>
          <w:rFonts w:ascii="Verdana" w:eastAsia="Times New Roman" w:hAnsi="Verdana" w:cs="Arial"/>
          <w:color w:val="2F2F2F"/>
          <w:sz w:val="18"/>
          <w:szCs w:val="18"/>
        </w:rPr>
        <w:t>,</w:t>
      </w:r>
      <w:r w:rsidRPr="00AD55C1">
        <w:rPr>
          <w:rFonts w:ascii="Verdana" w:eastAsia="Times New Roman" w:hAnsi="Verdana" w:cs="Arial"/>
          <w:color w:val="2F2F2F"/>
          <w:sz w:val="18"/>
          <w:szCs w:val="18"/>
        </w:rPr>
        <w:t xml:space="preserve"> of beide) hij wenst.</w:t>
      </w:r>
    </w:p>
    <w:p w:rsidR="00201F2A" w:rsidRPr="00AD55C1" w:rsidRDefault="00201F2A" w:rsidP="00AD55C1">
      <w:pPr>
        <w:pStyle w:val="Default"/>
        <w:widowControl w:val="0"/>
        <w:spacing w:line="260" w:lineRule="exact"/>
        <w:rPr>
          <w:rFonts w:ascii="Verdana" w:eastAsia="Times New Roman" w:hAnsi="Verdana" w:cs="Arial"/>
          <w:color w:val="2F2F2F"/>
          <w:sz w:val="18"/>
          <w:szCs w:val="18"/>
        </w:rPr>
      </w:pPr>
    </w:p>
    <w:p w:rsidR="00755A67" w:rsidRPr="00AD55C1" w:rsidRDefault="00755A67" w:rsidP="00AD55C1">
      <w:pPr>
        <w:pStyle w:val="Default"/>
        <w:widowControl w:val="0"/>
        <w:spacing w:line="260" w:lineRule="exact"/>
        <w:rPr>
          <w:rStyle w:val="Nadrukcursief"/>
          <w:rFonts w:ascii="Verdana" w:hAnsi="Verdana"/>
          <w:iCs w:val="0"/>
          <w:color w:val="auto"/>
          <w:sz w:val="18"/>
          <w:szCs w:val="18"/>
        </w:rPr>
      </w:pPr>
      <w:r w:rsidRPr="00AD55C1">
        <w:rPr>
          <w:rStyle w:val="Nadrukcursief"/>
          <w:rFonts w:ascii="Verdana" w:hAnsi="Verdana"/>
          <w:iCs w:val="0"/>
          <w:color w:val="auto"/>
          <w:sz w:val="18"/>
          <w:szCs w:val="18"/>
        </w:rPr>
        <w:t xml:space="preserve">Artikel I, onderdeel </w:t>
      </w:r>
      <w:r w:rsidR="00BF0A87" w:rsidRPr="00AD55C1">
        <w:rPr>
          <w:rStyle w:val="Nadrukcursief"/>
          <w:rFonts w:ascii="Verdana" w:hAnsi="Verdana"/>
          <w:iCs w:val="0"/>
          <w:color w:val="auto"/>
          <w:sz w:val="18"/>
          <w:szCs w:val="18"/>
        </w:rPr>
        <w:t>E</w:t>
      </w:r>
      <w:r w:rsidRPr="00AD55C1">
        <w:rPr>
          <w:rStyle w:val="Nadrukcursief"/>
          <w:rFonts w:ascii="Verdana" w:hAnsi="Verdana"/>
          <w:iCs w:val="0"/>
          <w:color w:val="auto"/>
          <w:sz w:val="18"/>
          <w:szCs w:val="18"/>
        </w:rPr>
        <w:t xml:space="preserve"> (artikel XII van de implementatiewet richtlijn solvabiliteit II)</w:t>
      </w:r>
    </w:p>
    <w:p w:rsidR="00FF78D2" w:rsidRPr="00AD55C1" w:rsidRDefault="00FF78D2" w:rsidP="00AD55C1">
      <w:pPr>
        <w:pStyle w:val="Default"/>
        <w:widowControl w:val="0"/>
        <w:spacing w:line="260" w:lineRule="exact"/>
        <w:rPr>
          <w:rStyle w:val="Nadrukcursief"/>
          <w:rFonts w:ascii="Verdana" w:hAnsi="Verdana"/>
          <w:i w:val="0"/>
          <w:sz w:val="18"/>
          <w:szCs w:val="18"/>
        </w:rPr>
      </w:pPr>
      <w:r w:rsidRPr="00AD55C1">
        <w:rPr>
          <w:rStyle w:val="Nadrukcursief"/>
          <w:rFonts w:ascii="Verdana" w:hAnsi="Verdana"/>
          <w:i w:val="0"/>
          <w:sz w:val="18"/>
          <w:szCs w:val="18"/>
        </w:rPr>
        <w:t>Artikel 4, vierde lid, laatste volzin, van de richtlijn eist dat een levensverzekeraar of schadeverzekeraar onder de reikwijdte van de richtlijn blijft vallen indien hij op het moment van inwerkingtreding van de richtlijn een bijkantoor heeft in een andere lidstaat of daarnaar diensten verricht op basis van het Europese paspoort. De opsomming in het eerste lid, onderdeel a, is met deze eis aangevuld.</w:t>
      </w:r>
      <w:r w:rsidR="001A1A7A" w:rsidRPr="00AD55C1">
        <w:rPr>
          <w:rStyle w:val="Nadrukcursief"/>
          <w:rFonts w:ascii="Verdana" w:hAnsi="Verdana"/>
          <w:i w:val="0"/>
          <w:sz w:val="18"/>
          <w:szCs w:val="18"/>
        </w:rPr>
        <w:t xml:space="preserve"> Voorts zijn enkele verwijzingen aangepast.</w:t>
      </w:r>
    </w:p>
    <w:p w:rsidR="00C275B4" w:rsidRPr="00AD55C1" w:rsidRDefault="00C275B4" w:rsidP="00AD55C1">
      <w:pPr>
        <w:spacing w:line="260" w:lineRule="exact"/>
        <w:rPr>
          <w:rFonts w:ascii="Verdana" w:hAnsi="Verdana" w:cs="Verdana"/>
          <w:sz w:val="18"/>
          <w:szCs w:val="18"/>
        </w:rPr>
      </w:pPr>
      <w:r w:rsidRPr="00AD55C1">
        <w:rPr>
          <w:rFonts w:ascii="Verdana" w:hAnsi="Verdana" w:cs="Verdana"/>
          <w:sz w:val="18"/>
          <w:szCs w:val="18"/>
        </w:rPr>
        <w:t xml:space="preserve">Het nieuwe tweede lid bevat de zogenoemde opt-in mogelijkheid en is een uitzondering op de omzetting zoals bepaald in artikel XII, eerste lid, onderdeel b, van de Implementatiewet richtlijn solvabiliteit II. Levens- en schadeverzekeraars die voldoen aan de eisen van artikel XII, eerste lid, onderdeel b, en die hun werkzaamheden willen voortzetten met een vergunning als bedoeld in artikel 14 of artikel 162 van de richtlijn solvabiliteit II (Solvency II-vergunning) moeten dit vóór 1 januari 2016 aan de Nederlandsche Bank meedelen. Hun bestaande vergunning wordt dan niet </w:t>
      </w:r>
      <w:r w:rsidRPr="00AD55C1">
        <w:rPr>
          <w:rFonts w:ascii="Verdana" w:hAnsi="Verdana" w:cs="Verdana"/>
          <w:sz w:val="18"/>
          <w:szCs w:val="18"/>
        </w:rPr>
        <w:lastRenderedPageBreak/>
        <w:t>omgezet in een vergunning voor verzekeraars met beperkte risico-omvang, maar in een Solvency II-vergunning.</w:t>
      </w:r>
    </w:p>
    <w:p w:rsidR="00FF78D2" w:rsidRPr="00AD55C1" w:rsidRDefault="00FF78D2" w:rsidP="00AD55C1">
      <w:pPr>
        <w:pStyle w:val="Default"/>
        <w:widowControl w:val="0"/>
        <w:spacing w:line="260" w:lineRule="exact"/>
        <w:rPr>
          <w:rStyle w:val="Nadrukcursief"/>
          <w:rFonts w:ascii="Verdana" w:hAnsi="Verdana"/>
          <w:i w:val="0"/>
          <w:sz w:val="18"/>
          <w:szCs w:val="18"/>
        </w:rPr>
      </w:pPr>
      <w:r w:rsidRPr="00AD55C1">
        <w:rPr>
          <w:rStyle w:val="Nadrukcursief"/>
          <w:rFonts w:ascii="Verdana" w:hAnsi="Verdana"/>
          <w:i w:val="0"/>
          <w:sz w:val="18"/>
          <w:szCs w:val="18"/>
        </w:rPr>
        <w:t xml:space="preserve">Het </w:t>
      </w:r>
      <w:r w:rsidR="00C275B4" w:rsidRPr="00AD55C1">
        <w:rPr>
          <w:rStyle w:val="Nadrukcursief"/>
          <w:rFonts w:ascii="Verdana" w:hAnsi="Verdana"/>
          <w:i w:val="0"/>
          <w:sz w:val="18"/>
          <w:szCs w:val="18"/>
        </w:rPr>
        <w:t>derde lid (</w:t>
      </w:r>
      <w:r w:rsidRPr="00AD55C1">
        <w:rPr>
          <w:rStyle w:val="Nadrukcursief"/>
          <w:rFonts w:ascii="Verdana" w:hAnsi="Verdana"/>
          <w:i w:val="0"/>
          <w:sz w:val="18"/>
          <w:szCs w:val="18"/>
        </w:rPr>
        <w:t xml:space="preserve">tweede lid </w:t>
      </w:r>
      <w:r w:rsidR="00C275B4" w:rsidRPr="00AD55C1">
        <w:rPr>
          <w:rStyle w:val="Nadrukcursief"/>
          <w:rFonts w:ascii="Verdana" w:hAnsi="Verdana"/>
          <w:i w:val="0"/>
          <w:sz w:val="18"/>
          <w:szCs w:val="18"/>
        </w:rPr>
        <w:t xml:space="preserve">oud) </w:t>
      </w:r>
      <w:r w:rsidRPr="00AD55C1">
        <w:rPr>
          <w:rStyle w:val="Nadrukcursief"/>
          <w:rFonts w:ascii="Verdana" w:hAnsi="Verdana"/>
          <w:i w:val="0"/>
          <w:sz w:val="18"/>
          <w:szCs w:val="18"/>
        </w:rPr>
        <w:t>kan alleen betrekking hebben op schadeverzekeraars, omdat levensverzekeraars geen gebruik kunnen maken van de vrijstelling. Daarom wordt het tweede lid beperkt tot schadeverzekeraars. Voorts wordt bij de verwijzingen nu ook rekening gehouden met schadeverzekeraars met zetel in een staat die geen lidstaat is.</w:t>
      </w:r>
    </w:p>
    <w:p w:rsidR="00D7782B" w:rsidRPr="00AD55C1" w:rsidRDefault="009D4361" w:rsidP="00AD55C1">
      <w:pPr>
        <w:pStyle w:val="Default"/>
        <w:widowControl w:val="0"/>
        <w:spacing w:line="260" w:lineRule="exact"/>
        <w:rPr>
          <w:rFonts w:ascii="Verdana" w:hAnsi="Verdana"/>
          <w:bCs/>
          <w:iCs/>
          <w:sz w:val="18"/>
          <w:szCs w:val="18"/>
        </w:rPr>
      </w:pPr>
      <w:r>
        <w:rPr>
          <w:rFonts w:ascii="Verdana" w:hAnsi="Verdana"/>
          <w:bCs/>
          <w:iCs/>
          <w:sz w:val="18"/>
          <w:szCs w:val="18"/>
        </w:rPr>
        <w:t xml:space="preserve">Voorgesteld wordt het derde </w:t>
      </w:r>
      <w:r w:rsidR="00D7782B" w:rsidRPr="00AD55C1">
        <w:rPr>
          <w:rFonts w:ascii="Verdana" w:hAnsi="Verdana"/>
          <w:bCs/>
          <w:iCs/>
          <w:sz w:val="18"/>
          <w:szCs w:val="18"/>
        </w:rPr>
        <w:t xml:space="preserve">lid </w:t>
      </w:r>
      <w:r>
        <w:rPr>
          <w:rFonts w:ascii="Verdana" w:hAnsi="Verdana"/>
          <w:bCs/>
          <w:iCs/>
          <w:sz w:val="18"/>
          <w:szCs w:val="18"/>
        </w:rPr>
        <w:t>(oud) te laten vervallen, omdat er bij een van rechtswege omzetting geen kosten zijn</w:t>
      </w:r>
      <w:r w:rsidR="00D7782B" w:rsidRPr="00AD55C1">
        <w:rPr>
          <w:rFonts w:ascii="Verdana" w:hAnsi="Verdana"/>
          <w:bCs/>
          <w:iCs/>
          <w:sz w:val="18"/>
          <w:szCs w:val="18"/>
        </w:rPr>
        <w:t>.</w:t>
      </w:r>
    </w:p>
    <w:p w:rsidR="00D7782B" w:rsidRPr="00AD55C1" w:rsidRDefault="00D7782B" w:rsidP="00AD55C1">
      <w:pPr>
        <w:pStyle w:val="Default"/>
        <w:widowControl w:val="0"/>
        <w:spacing w:line="260" w:lineRule="exact"/>
        <w:rPr>
          <w:rStyle w:val="Nadrukcursief"/>
          <w:rFonts w:ascii="Verdana" w:hAnsi="Verdana"/>
          <w:i w:val="0"/>
          <w:sz w:val="18"/>
          <w:szCs w:val="18"/>
        </w:rPr>
      </w:pPr>
    </w:p>
    <w:p w:rsidR="00201F2A" w:rsidRPr="00AD55C1" w:rsidRDefault="00201F2A" w:rsidP="00AD55C1">
      <w:pPr>
        <w:tabs>
          <w:tab w:val="left" w:pos="3402"/>
        </w:tabs>
        <w:spacing w:line="260" w:lineRule="exact"/>
        <w:rPr>
          <w:rFonts w:ascii="Verdana" w:hAnsi="Verdana"/>
          <w:i/>
          <w:color w:val="000000"/>
          <w:sz w:val="18"/>
          <w:szCs w:val="18"/>
        </w:rPr>
      </w:pPr>
      <w:r w:rsidRPr="00AD55C1">
        <w:rPr>
          <w:rFonts w:ascii="Verdana" w:hAnsi="Verdana"/>
          <w:i/>
          <w:color w:val="000000"/>
          <w:sz w:val="18"/>
          <w:szCs w:val="18"/>
        </w:rPr>
        <w:t xml:space="preserve">Artikel I, onderdeel </w:t>
      </w:r>
      <w:r w:rsidR="00BF0A87" w:rsidRPr="00AD55C1">
        <w:rPr>
          <w:rFonts w:ascii="Verdana" w:hAnsi="Verdana"/>
          <w:i/>
          <w:color w:val="000000"/>
          <w:sz w:val="18"/>
          <w:szCs w:val="18"/>
        </w:rPr>
        <w:t>F</w:t>
      </w:r>
      <w:r w:rsidRPr="00AD55C1">
        <w:rPr>
          <w:rFonts w:ascii="Verdana" w:hAnsi="Verdana"/>
          <w:i/>
          <w:color w:val="000000"/>
          <w:sz w:val="18"/>
          <w:szCs w:val="18"/>
        </w:rPr>
        <w:t xml:space="preserve"> (artikel XII</w:t>
      </w:r>
      <w:r w:rsidR="00755A67" w:rsidRPr="00AD55C1">
        <w:rPr>
          <w:rFonts w:ascii="Verdana" w:hAnsi="Verdana"/>
          <w:i/>
          <w:color w:val="000000"/>
          <w:sz w:val="18"/>
          <w:szCs w:val="18"/>
        </w:rPr>
        <w:t>I</w:t>
      </w:r>
      <w:r w:rsidRPr="00AD55C1">
        <w:rPr>
          <w:rFonts w:ascii="Verdana" w:hAnsi="Verdana"/>
          <w:i/>
          <w:color w:val="000000"/>
          <w:sz w:val="18"/>
          <w:szCs w:val="18"/>
        </w:rPr>
        <w:t xml:space="preserve"> van de Implementatiewet richtlijn solvabiliteit II)</w:t>
      </w:r>
    </w:p>
    <w:p w:rsidR="00FF78D2" w:rsidRPr="00AD55C1" w:rsidRDefault="00201F2A" w:rsidP="00AD55C1">
      <w:pPr>
        <w:tabs>
          <w:tab w:val="left" w:pos="3402"/>
        </w:tabs>
        <w:spacing w:line="260" w:lineRule="exact"/>
        <w:rPr>
          <w:rFonts w:ascii="Verdana" w:hAnsi="Verdana"/>
          <w:color w:val="000000"/>
          <w:sz w:val="18"/>
          <w:szCs w:val="18"/>
        </w:rPr>
      </w:pPr>
      <w:r w:rsidRPr="00AD55C1">
        <w:rPr>
          <w:rFonts w:ascii="Verdana" w:hAnsi="Verdana"/>
          <w:color w:val="000000"/>
          <w:sz w:val="18"/>
          <w:szCs w:val="18"/>
        </w:rPr>
        <w:t xml:space="preserve">Voor natura-uitvaartverzekeraars die gebruik willen maken van de vrijstelling van prudentieel toezicht </w:t>
      </w:r>
      <w:r w:rsidR="00596C51" w:rsidRPr="00AD55C1">
        <w:rPr>
          <w:rFonts w:ascii="Verdana" w:hAnsi="Verdana"/>
          <w:color w:val="000000"/>
          <w:sz w:val="18"/>
          <w:szCs w:val="18"/>
        </w:rPr>
        <w:t xml:space="preserve">wordt in het eerste lid voorzien in eenzelfde overgangsregeling </w:t>
      </w:r>
      <w:r w:rsidRPr="00AD55C1">
        <w:rPr>
          <w:rFonts w:ascii="Verdana" w:hAnsi="Verdana"/>
          <w:color w:val="000000"/>
          <w:sz w:val="18"/>
          <w:szCs w:val="18"/>
        </w:rPr>
        <w:t>als voor schadeverzekeraars die een beroep op de</w:t>
      </w:r>
      <w:r w:rsidR="004E62C4">
        <w:rPr>
          <w:rFonts w:ascii="Verdana" w:hAnsi="Verdana"/>
          <w:color w:val="000000"/>
          <w:sz w:val="18"/>
          <w:szCs w:val="18"/>
        </w:rPr>
        <w:t>ze</w:t>
      </w:r>
      <w:r w:rsidRPr="00AD55C1">
        <w:rPr>
          <w:rFonts w:ascii="Verdana" w:hAnsi="Verdana"/>
          <w:color w:val="000000"/>
          <w:sz w:val="18"/>
          <w:szCs w:val="18"/>
        </w:rPr>
        <w:t xml:space="preserve"> vrijstelling willen doen. </w:t>
      </w:r>
    </w:p>
    <w:p w:rsidR="00201F2A" w:rsidRPr="00AD55C1" w:rsidRDefault="00596C51" w:rsidP="00AD55C1">
      <w:pPr>
        <w:tabs>
          <w:tab w:val="left" w:pos="3402"/>
        </w:tabs>
        <w:spacing w:line="260" w:lineRule="exact"/>
        <w:rPr>
          <w:rStyle w:val="Nadrukcursief"/>
          <w:rFonts w:ascii="Verdana" w:hAnsi="Verdana"/>
          <w:i w:val="0"/>
          <w:iCs w:val="0"/>
          <w:sz w:val="18"/>
          <w:szCs w:val="18"/>
        </w:rPr>
      </w:pPr>
      <w:r w:rsidRPr="00AD55C1">
        <w:rPr>
          <w:rFonts w:ascii="Verdana" w:hAnsi="Verdana"/>
          <w:color w:val="000000"/>
          <w:sz w:val="18"/>
          <w:szCs w:val="18"/>
        </w:rPr>
        <w:t xml:space="preserve">Voorts biedt het nieuwe tweede lid natura-uitvaartverzekeraars eenzelfde mogelijkheid als artikel XII, tweede lid, van de </w:t>
      </w:r>
      <w:r w:rsidRPr="00AD55C1">
        <w:rPr>
          <w:rStyle w:val="Nadrukcursief"/>
          <w:rFonts w:ascii="Verdana" w:hAnsi="Verdana"/>
          <w:i w:val="0"/>
          <w:iCs w:val="0"/>
          <w:sz w:val="18"/>
          <w:szCs w:val="18"/>
        </w:rPr>
        <w:t>implementatiewet richtlijn solvabiliteit II</w:t>
      </w:r>
      <w:r w:rsidR="004E62C4">
        <w:rPr>
          <w:rStyle w:val="Nadrukcursief"/>
          <w:rFonts w:ascii="Verdana" w:hAnsi="Verdana"/>
          <w:i w:val="0"/>
          <w:iCs w:val="0"/>
          <w:sz w:val="18"/>
          <w:szCs w:val="18"/>
        </w:rPr>
        <w:t>.</w:t>
      </w:r>
      <w:r w:rsidR="009D4361">
        <w:rPr>
          <w:rStyle w:val="Nadrukcursief"/>
          <w:rFonts w:ascii="Verdana" w:hAnsi="Verdana"/>
          <w:i w:val="0"/>
          <w:iCs w:val="0"/>
          <w:sz w:val="18"/>
          <w:szCs w:val="18"/>
        </w:rPr>
        <w:t xml:space="preserve"> Door het aanvragen van een vergunning voor het levensverzekeringsbedrijf worden de betrokken natura-uitvaartverzekeraars wel aangemerkt als levensverzekeraars.</w:t>
      </w:r>
    </w:p>
    <w:p w:rsidR="00596C51" w:rsidRPr="00AD55C1" w:rsidRDefault="00596C51" w:rsidP="00AD55C1">
      <w:pPr>
        <w:tabs>
          <w:tab w:val="left" w:pos="3402"/>
        </w:tabs>
        <w:spacing w:line="260" w:lineRule="exact"/>
        <w:rPr>
          <w:rFonts w:ascii="Verdana" w:hAnsi="Verdana"/>
          <w:color w:val="000000"/>
          <w:sz w:val="18"/>
          <w:szCs w:val="18"/>
        </w:rPr>
      </w:pPr>
    </w:p>
    <w:p w:rsidR="005A24B3" w:rsidRPr="00AD55C1" w:rsidRDefault="005A24B3" w:rsidP="00AD55C1">
      <w:pPr>
        <w:pStyle w:val="Default"/>
        <w:widowControl w:val="0"/>
        <w:spacing w:line="260" w:lineRule="exact"/>
        <w:rPr>
          <w:rFonts w:ascii="Verdana" w:hAnsi="Verdana" w:cs="Arial"/>
          <w:i/>
          <w:sz w:val="18"/>
          <w:szCs w:val="18"/>
        </w:rPr>
      </w:pPr>
      <w:r w:rsidRPr="00AD55C1">
        <w:rPr>
          <w:rFonts w:ascii="Verdana" w:hAnsi="Verdana" w:cs="Arial"/>
          <w:i/>
          <w:sz w:val="18"/>
          <w:szCs w:val="18"/>
        </w:rPr>
        <w:t>Artikel II (Implementatiewet richtlijn financiële conglomeraten I)</w:t>
      </w:r>
    </w:p>
    <w:p w:rsidR="005A24B3" w:rsidRPr="00AD55C1" w:rsidRDefault="0016117B" w:rsidP="00AD55C1">
      <w:pPr>
        <w:pStyle w:val="Default"/>
        <w:widowControl w:val="0"/>
        <w:spacing w:line="260" w:lineRule="exact"/>
        <w:rPr>
          <w:rFonts w:ascii="Verdana" w:hAnsi="Verdana" w:cs="Arial"/>
          <w:sz w:val="18"/>
          <w:szCs w:val="18"/>
        </w:rPr>
      </w:pPr>
      <w:r w:rsidRPr="00AD55C1">
        <w:rPr>
          <w:rFonts w:ascii="Verdana" w:hAnsi="Verdana" w:cs="Arial"/>
          <w:sz w:val="18"/>
          <w:szCs w:val="18"/>
        </w:rPr>
        <w:t xml:space="preserve">Artikel IV, onderdeel C, van de Implementatiewet richtlijn financiële conglomeraten I betreft artikel 3:285 Wft. </w:t>
      </w:r>
      <w:r w:rsidR="005A24B3" w:rsidRPr="00AD55C1">
        <w:rPr>
          <w:rFonts w:ascii="Verdana" w:hAnsi="Verdana" w:cs="Arial"/>
          <w:sz w:val="18"/>
          <w:szCs w:val="18"/>
        </w:rPr>
        <w:t xml:space="preserve">De wijziging strekt ertoe de onjuiste verwijzing naar “artikel 3:289, onderdeel d” te laten vervallen. </w:t>
      </w:r>
    </w:p>
    <w:p w:rsidR="00BF0A87" w:rsidRPr="00AD55C1" w:rsidRDefault="00BF0A87" w:rsidP="00AD55C1">
      <w:pPr>
        <w:pStyle w:val="Default"/>
        <w:widowControl w:val="0"/>
        <w:spacing w:line="260" w:lineRule="exact"/>
        <w:rPr>
          <w:rFonts w:ascii="Verdana" w:hAnsi="Verdana" w:cs="Arial"/>
          <w:i/>
          <w:sz w:val="18"/>
          <w:szCs w:val="18"/>
        </w:rPr>
      </w:pPr>
    </w:p>
    <w:p w:rsidR="00BF0A87" w:rsidRPr="00AD55C1" w:rsidRDefault="00BF0A87" w:rsidP="00AD55C1">
      <w:pPr>
        <w:pStyle w:val="Default"/>
        <w:widowControl w:val="0"/>
        <w:spacing w:line="260" w:lineRule="exact"/>
        <w:rPr>
          <w:rFonts w:ascii="Verdana" w:hAnsi="Verdana" w:cs="Arial"/>
          <w:i/>
          <w:sz w:val="18"/>
          <w:szCs w:val="18"/>
        </w:rPr>
      </w:pPr>
      <w:r w:rsidRPr="00AD55C1">
        <w:rPr>
          <w:rFonts w:ascii="Verdana" w:hAnsi="Verdana" w:cs="Arial"/>
          <w:i/>
          <w:sz w:val="18"/>
          <w:szCs w:val="18"/>
        </w:rPr>
        <w:t>Artikel III (Faillissementswet)</w:t>
      </w:r>
    </w:p>
    <w:p w:rsidR="00CA26AA" w:rsidRPr="00AD55C1" w:rsidRDefault="00BF0A87" w:rsidP="00AD55C1">
      <w:pPr>
        <w:pStyle w:val="Default"/>
        <w:widowControl w:val="0"/>
        <w:spacing w:line="260" w:lineRule="exact"/>
        <w:rPr>
          <w:rFonts w:ascii="Verdana" w:hAnsi="Verdana" w:cs="Arial"/>
          <w:sz w:val="18"/>
          <w:szCs w:val="18"/>
        </w:rPr>
      </w:pPr>
      <w:r w:rsidRPr="00AD55C1">
        <w:rPr>
          <w:rFonts w:ascii="Verdana" w:hAnsi="Verdana" w:cs="Arial"/>
          <w:sz w:val="18"/>
          <w:szCs w:val="18"/>
        </w:rPr>
        <w:t xml:space="preserve">In de Faillissementswet dienen </w:t>
      </w:r>
      <w:r w:rsidR="006856F3" w:rsidRPr="00AD55C1">
        <w:rPr>
          <w:rFonts w:ascii="Verdana" w:hAnsi="Verdana" w:cs="Arial"/>
          <w:sz w:val="18"/>
          <w:szCs w:val="18"/>
        </w:rPr>
        <w:t>in afdeling 11B (</w:t>
      </w:r>
      <w:r w:rsidR="006856F3" w:rsidRPr="00AD55C1">
        <w:rPr>
          <w:rFonts w:ascii="Verdana" w:hAnsi="Verdana" w:cs="Arial"/>
          <w:bCs/>
          <w:sz w:val="18"/>
          <w:szCs w:val="18"/>
        </w:rPr>
        <w:t xml:space="preserve">Van het faillissement van een verzekeraar) </w:t>
      </w:r>
      <w:r w:rsidRPr="00AD55C1">
        <w:rPr>
          <w:rFonts w:ascii="Verdana" w:hAnsi="Verdana" w:cs="Arial"/>
          <w:sz w:val="18"/>
          <w:szCs w:val="18"/>
        </w:rPr>
        <w:t xml:space="preserve">de bepalingen </w:t>
      </w:r>
      <w:r w:rsidR="006856F3" w:rsidRPr="00AD55C1">
        <w:rPr>
          <w:rFonts w:ascii="Verdana" w:hAnsi="Verdana" w:cs="Arial"/>
          <w:sz w:val="18"/>
          <w:szCs w:val="18"/>
        </w:rPr>
        <w:t xml:space="preserve">te worden aangepast aan verzekeraars met beperkte risico-omvang. Voor een toelichting wordt verwezen naar paragraaf 5 </w:t>
      </w:r>
    </w:p>
    <w:p w:rsidR="00CA26AA" w:rsidRPr="00AD55C1" w:rsidRDefault="00CA26AA" w:rsidP="00AD55C1">
      <w:pPr>
        <w:pStyle w:val="Default"/>
        <w:spacing w:line="260" w:lineRule="exact"/>
        <w:rPr>
          <w:rFonts w:ascii="Verdana" w:hAnsi="Verdana" w:cs="Arial"/>
          <w:sz w:val="18"/>
          <w:szCs w:val="18"/>
        </w:rPr>
      </w:pPr>
      <w:r w:rsidRPr="00AD55C1">
        <w:rPr>
          <w:rFonts w:ascii="Verdana" w:hAnsi="Verdana" w:cs="Arial"/>
          <w:sz w:val="18"/>
          <w:szCs w:val="18"/>
        </w:rPr>
        <w:t xml:space="preserve">van het algemene deel van deze toelichting. </w:t>
      </w:r>
    </w:p>
    <w:p w:rsidR="00CA26AA" w:rsidRPr="00AD55C1" w:rsidRDefault="00CA26AA" w:rsidP="00AD55C1">
      <w:pPr>
        <w:pStyle w:val="Default"/>
        <w:widowControl w:val="0"/>
        <w:spacing w:line="260" w:lineRule="exact"/>
        <w:rPr>
          <w:rStyle w:val="Nadrukcursief"/>
          <w:rFonts w:ascii="Verdana" w:hAnsi="Verdana"/>
          <w:iCs w:val="0"/>
          <w:sz w:val="18"/>
          <w:szCs w:val="18"/>
        </w:rPr>
      </w:pPr>
    </w:p>
    <w:p w:rsidR="00CA26AA" w:rsidRPr="00AD55C1" w:rsidRDefault="00CA26AA" w:rsidP="00AD55C1">
      <w:pPr>
        <w:pStyle w:val="Default"/>
        <w:widowControl w:val="0"/>
        <w:spacing w:line="260" w:lineRule="exact"/>
        <w:rPr>
          <w:rStyle w:val="Nadrukcursief"/>
          <w:rFonts w:ascii="Verdana" w:hAnsi="Verdana"/>
          <w:i w:val="0"/>
          <w:iCs w:val="0"/>
          <w:sz w:val="18"/>
          <w:szCs w:val="18"/>
        </w:rPr>
      </w:pPr>
      <w:r w:rsidRPr="00AD55C1">
        <w:rPr>
          <w:rStyle w:val="Nadrukcursief"/>
          <w:rFonts w:ascii="Verdana" w:hAnsi="Verdana"/>
          <w:i w:val="0"/>
          <w:iCs w:val="0"/>
          <w:sz w:val="18"/>
          <w:szCs w:val="18"/>
        </w:rPr>
        <w:t>A</w:t>
      </w:r>
    </w:p>
    <w:p w:rsidR="00CA26AA" w:rsidRPr="00AD55C1" w:rsidRDefault="00CA26AA" w:rsidP="00AD55C1">
      <w:pPr>
        <w:pStyle w:val="Default"/>
        <w:spacing w:line="260" w:lineRule="exact"/>
        <w:rPr>
          <w:rFonts w:ascii="Verdana" w:hAnsi="Verdana" w:cs="Arial"/>
          <w:sz w:val="18"/>
          <w:szCs w:val="18"/>
        </w:rPr>
      </w:pPr>
      <w:r w:rsidRPr="00AD55C1">
        <w:rPr>
          <w:rFonts w:ascii="Verdana" w:hAnsi="Verdana" w:cs="Arial"/>
          <w:sz w:val="18"/>
          <w:szCs w:val="18"/>
        </w:rPr>
        <w:t xml:space="preserve">De wijziging in artikel 213, onderdeel a, bewerkstelligt dat de definitie </w:t>
      </w:r>
      <w:r w:rsidR="004E62C4">
        <w:rPr>
          <w:rFonts w:ascii="Verdana" w:hAnsi="Verdana" w:cs="Arial"/>
          <w:sz w:val="18"/>
          <w:szCs w:val="18"/>
        </w:rPr>
        <w:t xml:space="preserve">van “verzekeraar” </w:t>
      </w:r>
      <w:r w:rsidRPr="00AD55C1">
        <w:rPr>
          <w:rFonts w:ascii="Verdana" w:hAnsi="Verdana" w:cs="Arial"/>
          <w:sz w:val="18"/>
          <w:szCs w:val="18"/>
        </w:rPr>
        <w:t>alleen nog ziet op verzekeraars die vallen onder de richtlijn solvabiliteit II.</w:t>
      </w:r>
    </w:p>
    <w:p w:rsidR="00BF0A87" w:rsidRPr="00AD55C1" w:rsidRDefault="00BF0A87" w:rsidP="00AD55C1">
      <w:pPr>
        <w:spacing w:line="260" w:lineRule="exact"/>
        <w:rPr>
          <w:rFonts w:ascii="Verdana" w:hAnsi="Verdana" w:cs="Verdana"/>
          <w:sz w:val="18"/>
          <w:szCs w:val="18"/>
        </w:rPr>
      </w:pPr>
    </w:p>
    <w:p w:rsidR="00CA26AA" w:rsidRPr="00AD55C1" w:rsidRDefault="00CA26AA" w:rsidP="00AD55C1">
      <w:pPr>
        <w:spacing w:line="260" w:lineRule="exact"/>
        <w:rPr>
          <w:rFonts w:ascii="Verdana" w:hAnsi="Verdana" w:cs="Verdana"/>
          <w:sz w:val="18"/>
          <w:szCs w:val="18"/>
        </w:rPr>
      </w:pPr>
      <w:r w:rsidRPr="00AD55C1">
        <w:rPr>
          <w:rFonts w:ascii="Verdana" w:hAnsi="Verdana" w:cs="Verdana"/>
          <w:sz w:val="18"/>
          <w:szCs w:val="18"/>
        </w:rPr>
        <w:t>D</w:t>
      </w:r>
    </w:p>
    <w:p w:rsidR="00CA26AA" w:rsidRPr="00AD55C1" w:rsidRDefault="00CA26AA" w:rsidP="00AD55C1">
      <w:pPr>
        <w:spacing w:line="260" w:lineRule="exact"/>
        <w:rPr>
          <w:rFonts w:ascii="Verdana" w:hAnsi="Verdana" w:cs="Verdana"/>
          <w:sz w:val="18"/>
          <w:szCs w:val="18"/>
        </w:rPr>
      </w:pPr>
      <w:r w:rsidRPr="00AD55C1">
        <w:rPr>
          <w:rFonts w:ascii="Verdana" w:hAnsi="Verdana" w:cs="Verdana"/>
          <w:sz w:val="18"/>
          <w:szCs w:val="18"/>
        </w:rPr>
        <w:t>De aanpassing van artikel 213ff zorgt ervoor dat de paragraaf van toepassing wordt op verzekeraars met beperkte risico-omvang.</w:t>
      </w:r>
    </w:p>
    <w:p w:rsidR="00CA26AA" w:rsidRPr="00AD55C1" w:rsidRDefault="00CA26AA" w:rsidP="00AD55C1">
      <w:pPr>
        <w:spacing w:line="260" w:lineRule="exact"/>
        <w:rPr>
          <w:rFonts w:ascii="Verdana" w:hAnsi="Verdana" w:cs="Verdana"/>
          <w:sz w:val="18"/>
          <w:szCs w:val="18"/>
        </w:rPr>
      </w:pPr>
    </w:p>
    <w:p w:rsidR="00CA26AA" w:rsidRPr="00AD55C1" w:rsidRDefault="00CA26AA" w:rsidP="00AD55C1">
      <w:pPr>
        <w:spacing w:line="260" w:lineRule="exact"/>
        <w:rPr>
          <w:rFonts w:ascii="Verdana" w:hAnsi="Verdana" w:cs="Verdana"/>
          <w:sz w:val="18"/>
          <w:szCs w:val="18"/>
        </w:rPr>
      </w:pPr>
      <w:r w:rsidRPr="00AD55C1">
        <w:rPr>
          <w:rFonts w:ascii="Verdana" w:hAnsi="Verdana" w:cs="Verdana"/>
          <w:sz w:val="18"/>
          <w:szCs w:val="18"/>
        </w:rPr>
        <w:t>G</w:t>
      </w:r>
    </w:p>
    <w:p w:rsidR="00CA26AA" w:rsidRPr="00AD55C1" w:rsidRDefault="00CA26AA" w:rsidP="00AD55C1">
      <w:pPr>
        <w:spacing w:line="260" w:lineRule="exact"/>
        <w:rPr>
          <w:rFonts w:ascii="Verdana" w:hAnsi="Verdana" w:cs="Verdana"/>
          <w:sz w:val="18"/>
          <w:szCs w:val="18"/>
        </w:rPr>
      </w:pPr>
      <w:r w:rsidRPr="00AD55C1">
        <w:rPr>
          <w:rFonts w:ascii="Verdana" w:hAnsi="Verdana" w:cs="Verdana"/>
          <w:sz w:val="18"/>
          <w:szCs w:val="18"/>
        </w:rPr>
        <w:t xml:space="preserve">De aanvulling van artikel 213kk beoogt ook een rangregeling te geven voor levensverzekeraars en schadeverzekeraars met beperkte risico-omvang. </w:t>
      </w:r>
    </w:p>
    <w:p w:rsidR="00CA26AA" w:rsidRPr="00AD55C1" w:rsidRDefault="00CA26AA" w:rsidP="00AD55C1">
      <w:pPr>
        <w:spacing w:line="260" w:lineRule="exact"/>
        <w:rPr>
          <w:rFonts w:ascii="Verdana" w:hAnsi="Verdana" w:cs="Verdana"/>
          <w:sz w:val="18"/>
          <w:szCs w:val="18"/>
        </w:rPr>
      </w:pPr>
    </w:p>
    <w:p w:rsidR="00B71D0D" w:rsidRPr="00AD55C1" w:rsidRDefault="00B71D0D" w:rsidP="00AD55C1">
      <w:pPr>
        <w:spacing w:line="260" w:lineRule="exact"/>
        <w:rPr>
          <w:rFonts w:ascii="Verdana" w:hAnsi="Verdana"/>
          <w:i/>
          <w:sz w:val="18"/>
          <w:szCs w:val="18"/>
        </w:rPr>
      </w:pPr>
      <w:r w:rsidRPr="00AD55C1">
        <w:rPr>
          <w:rFonts w:ascii="Verdana" w:hAnsi="Verdana"/>
          <w:i/>
          <w:sz w:val="18"/>
          <w:szCs w:val="18"/>
        </w:rPr>
        <w:t>Artikel IV (overgangsrecht)</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Dit artikel implementeert artikel 308 ter, eerste, tweede, derde</w:t>
      </w:r>
      <w:r w:rsidR="001A3EBC">
        <w:rPr>
          <w:rFonts w:ascii="Verdana" w:hAnsi="Verdana"/>
          <w:color w:val="000000"/>
          <w:sz w:val="18"/>
          <w:szCs w:val="18"/>
        </w:rPr>
        <w:t>,</w:t>
      </w:r>
      <w:r w:rsidRPr="00AD55C1">
        <w:rPr>
          <w:rFonts w:ascii="Verdana" w:hAnsi="Verdana"/>
          <w:color w:val="000000"/>
          <w:sz w:val="18"/>
          <w:szCs w:val="18"/>
        </w:rPr>
        <w:t xml:space="preserve"> veertiende en zeventiende lid, van de richtlijn solvabiliteit II</w:t>
      </w:r>
      <w:r w:rsidR="001A3EBC">
        <w:rPr>
          <w:rFonts w:ascii="Verdana" w:hAnsi="Verdana"/>
          <w:color w:val="000000"/>
          <w:sz w:val="18"/>
          <w:szCs w:val="18"/>
        </w:rPr>
        <w:t>,</w:t>
      </w:r>
      <w:r w:rsidRPr="00AD55C1">
        <w:rPr>
          <w:rFonts w:ascii="Verdana" w:hAnsi="Verdana"/>
          <w:color w:val="000000"/>
          <w:sz w:val="18"/>
          <w:szCs w:val="18"/>
        </w:rPr>
        <w:t xml:space="preserve"> zoals deze artikelen zijn gewijzigd met artikel 2, onderdeel 80, van de </w:t>
      </w:r>
      <w:r w:rsidR="00137ECF" w:rsidRPr="00AD55C1">
        <w:rPr>
          <w:rFonts w:ascii="Verdana" w:hAnsi="Verdana"/>
          <w:color w:val="000000"/>
          <w:sz w:val="18"/>
          <w:szCs w:val="18"/>
        </w:rPr>
        <w:t>Omnibus II-richtlijn</w:t>
      </w:r>
      <w:r w:rsidRPr="00AD55C1">
        <w:rPr>
          <w:rFonts w:ascii="Verdana" w:hAnsi="Verdana"/>
          <w:color w:val="000000"/>
          <w:sz w:val="18"/>
          <w:szCs w:val="18"/>
        </w:rPr>
        <w:t xml:space="preserve">. </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eerste lid tot en met derde lid, voorziet in een termijn enerzijds voor verzekeraars die op het moment van inwerkingtreding van de richtlijn solvabiliteit II hun bedrijf aan het afwikkelen zijn en dat voor 1 januari 2019 </w:t>
      </w:r>
      <w:r w:rsidRPr="00AD55C1">
        <w:rPr>
          <w:rFonts w:ascii="Verdana" w:hAnsi="Verdana"/>
          <w:color w:val="000000"/>
          <w:sz w:val="18"/>
          <w:szCs w:val="18"/>
        </w:rPr>
        <w:lastRenderedPageBreak/>
        <w:t xml:space="preserve">hebben </w:t>
      </w:r>
      <w:r w:rsidR="004F7188" w:rsidRPr="00AD55C1">
        <w:rPr>
          <w:rFonts w:ascii="Verdana" w:hAnsi="Verdana"/>
          <w:color w:val="000000"/>
          <w:sz w:val="18"/>
          <w:szCs w:val="18"/>
        </w:rPr>
        <w:t xml:space="preserve">voltooid </w:t>
      </w:r>
      <w:r w:rsidRPr="00AD55C1">
        <w:rPr>
          <w:rFonts w:ascii="Verdana" w:hAnsi="Verdana"/>
          <w:color w:val="000000"/>
          <w:sz w:val="18"/>
          <w:szCs w:val="18"/>
        </w:rPr>
        <w:t>en anderzijds voor verzekeraars die onderworpen zijn aan saneringsmaatregelen zoals bedoeld in titel IV, hoofdstuk II, van de richtlijn solvabiliteit II. Zij moeten dan wel aan de voorwaarden bedoeld in artikel 308 ter, tweede en derde lid voldoen. Indien dat niet het geval is, zullen de eisen van de richtlijn solvabiliteit II van kracht zijn.</w:t>
      </w:r>
    </w:p>
    <w:p w:rsidR="003A4CE3" w:rsidRPr="00AD55C1" w:rsidRDefault="003A4CE3"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vierde lid, zal worden geïmplementeerd in de </w:t>
      </w:r>
      <w:r w:rsidRPr="00AD55C1">
        <w:rPr>
          <w:rFonts w:ascii="Verdana" w:hAnsi="Verdana"/>
          <w:sz w:val="18"/>
          <w:szCs w:val="18"/>
        </w:rPr>
        <w:t>Regeling taakuitoefening en grensoverschrijdende samenwerking financiële toezichthouders Wft.</w:t>
      </w:r>
    </w:p>
    <w:p w:rsidR="00BD5C2B" w:rsidRPr="00AD55C1" w:rsidRDefault="00BD5C2B"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dertiende lid, wordt geïmplementeerd in het besluit prudentiële regels Wft. Dit betreft een overgangsmaatregel om de kapitaalseis op beleggingen in aandelen tijdelijk te verlagen. </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veertiende lid, wordt geïmplementeerd door het </w:t>
      </w:r>
      <w:r w:rsidR="00D8554C" w:rsidRPr="00AD55C1">
        <w:rPr>
          <w:rFonts w:ascii="Verdana" w:hAnsi="Verdana"/>
          <w:color w:val="000000"/>
          <w:sz w:val="18"/>
          <w:szCs w:val="18"/>
        </w:rPr>
        <w:t xml:space="preserve">derde </w:t>
      </w:r>
      <w:r w:rsidRPr="00AD55C1">
        <w:rPr>
          <w:rFonts w:ascii="Verdana" w:hAnsi="Verdana"/>
          <w:color w:val="000000"/>
          <w:sz w:val="18"/>
          <w:szCs w:val="18"/>
        </w:rPr>
        <w:t xml:space="preserve">lid. Dit artikel </w:t>
      </w:r>
      <w:r w:rsidR="00D8554C" w:rsidRPr="00AD55C1">
        <w:rPr>
          <w:rFonts w:ascii="Verdana" w:hAnsi="Verdana"/>
          <w:color w:val="000000"/>
          <w:sz w:val="18"/>
          <w:szCs w:val="18"/>
        </w:rPr>
        <w:t xml:space="preserve">geeft </w:t>
      </w:r>
      <w:r w:rsidRPr="00AD55C1">
        <w:rPr>
          <w:rFonts w:ascii="Verdana" w:hAnsi="Verdana"/>
          <w:color w:val="000000"/>
          <w:sz w:val="18"/>
          <w:szCs w:val="18"/>
        </w:rPr>
        <w:t>een overgangs</w:t>
      </w:r>
      <w:r w:rsidR="00D8554C" w:rsidRPr="00AD55C1">
        <w:rPr>
          <w:rFonts w:ascii="Verdana" w:hAnsi="Verdana"/>
          <w:color w:val="000000"/>
          <w:sz w:val="18"/>
          <w:szCs w:val="18"/>
        </w:rPr>
        <w:t xml:space="preserve">termijn </w:t>
      </w:r>
      <w:r w:rsidRPr="00AD55C1">
        <w:rPr>
          <w:rFonts w:ascii="Verdana" w:hAnsi="Verdana"/>
          <w:color w:val="000000"/>
          <w:sz w:val="18"/>
          <w:szCs w:val="18"/>
        </w:rPr>
        <w:t>wanneer een verzekeraar niet aan de SCR kan voldoen.  </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vijftiende lid </w:t>
      </w:r>
      <w:r w:rsidR="00D8554C" w:rsidRPr="00AD55C1">
        <w:rPr>
          <w:rFonts w:ascii="Verdana" w:hAnsi="Verdana"/>
          <w:color w:val="000000"/>
          <w:sz w:val="18"/>
          <w:szCs w:val="18"/>
        </w:rPr>
        <w:t>word</w:t>
      </w:r>
      <w:r w:rsidR="00BD5C2B" w:rsidRPr="00AD55C1">
        <w:rPr>
          <w:rFonts w:ascii="Verdana" w:hAnsi="Verdana"/>
          <w:color w:val="000000"/>
          <w:sz w:val="18"/>
          <w:szCs w:val="18"/>
        </w:rPr>
        <w:t>t</w:t>
      </w:r>
      <w:r w:rsidR="00D8554C" w:rsidRPr="00AD55C1">
        <w:rPr>
          <w:rFonts w:ascii="Verdana" w:hAnsi="Verdana"/>
          <w:color w:val="000000"/>
          <w:sz w:val="18"/>
          <w:szCs w:val="18"/>
        </w:rPr>
        <w:t xml:space="preserve"> </w:t>
      </w:r>
      <w:r w:rsidRPr="00AD55C1">
        <w:rPr>
          <w:rFonts w:ascii="Verdana" w:hAnsi="Verdana"/>
          <w:color w:val="000000"/>
          <w:sz w:val="18"/>
          <w:szCs w:val="18"/>
        </w:rPr>
        <w:t>niet geïmplementeerd in de Wft. De overgangsmaatregel in het vijftiende lid, die regelt dat verzekeraars die de IORP richtlijn mogen toepassen voor de pensioenverzekeringen gebruik kunnen blijven maken van de kapitaalseisen zoals deze zijn vastgesteld in de Solvabiliteit I richtlijnen is niet relevant omdat we deze lidstaatoptie in de IORP richtlijn niet hebben overgenomen in de Nederlandse wet.</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Artikel 308 ter, vijfde tot en met twaalfde en zestiende en zeventiende lid</w:t>
      </w:r>
      <w:r w:rsidR="00E965D4" w:rsidRPr="00AD55C1">
        <w:rPr>
          <w:rFonts w:ascii="Verdana" w:hAnsi="Verdana"/>
          <w:color w:val="000000"/>
          <w:sz w:val="18"/>
          <w:szCs w:val="18"/>
        </w:rPr>
        <w:t>, eerste alinea,</w:t>
      </w:r>
      <w:r w:rsidRPr="00AD55C1">
        <w:rPr>
          <w:rFonts w:ascii="Verdana" w:hAnsi="Verdana"/>
          <w:color w:val="000000"/>
          <w:sz w:val="18"/>
          <w:szCs w:val="18"/>
        </w:rPr>
        <w:t xml:space="preserve"> wordt bij algemene maatregel van bestuur geregeld. Deze </w:t>
      </w:r>
      <w:r w:rsidR="00D8554C" w:rsidRPr="00AD55C1">
        <w:rPr>
          <w:rFonts w:ascii="Verdana" w:hAnsi="Verdana"/>
          <w:color w:val="000000"/>
          <w:sz w:val="18"/>
          <w:szCs w:val="18"/>
        </w:rPr>
        <w:t xml:space="preserve">leden </w:t>
      </w:r>
      <w:r w:rsidRPr="00AD55C1">
        <w:rPr>
          <w:rFonts w:ascii="Verdana" w:hAnsi="Verdana"/>
          <w:color w:val="000000"/>
          <w:sz w:val="18"/>
          <w:szCs w:val="18"/>
        </w:rPr>
        <w:t>behelzen de volgende overgangsmaatregelen:</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vijfde tot en met achtste lid, bepaalt dat de beschikbare termijnen voor indiening </w:t>
      </w:r>
      <w:r w:rsidR="00E231CF" w:rsidRPr="00AD55C1">
        <w:rPr>
          <w:rFonts w:ascii="Verdana" w:hAnsi="Verdana"/>
          <w:color w:val="000000"/>
          <w:sz w:val="18"/>
          <w:szCs w:val="18"/>
        </w:rPr>
        <w:t xml:space="preserve">van </w:t>
      </w:r>
      <w:r w:rsidRPr="00AD55C1">
        <w:rPr>
          <w:rFonts w:ascii="Verdana" w:hAnsi="Verdana"/>
          <w:color w:val="000000"/>
          <w:sz w:val="18"/>
          <w:szCs w:val="18"/>
        </w:rPr>
        <w:t>informatie telkens worden verkort. Hierdoor wordt verzekeraars de tijd gegund h</w:t>
      </w:r>
      <w:r w:rsidR="00E231CF" w:rsidRPr="00AD55C1">
        <w:rPr>
          <w:rFonts w:ascii="Verdana" w:hAnsi="Verdana"/>
          <w:color w:val="000000"/>
          <w:sz w:val="18"/>
          <w:szCs w:val="18"/>
        </w:rPr>
        <w:t>un systemen op orde te krijgen.</w:t>
      </w:r>
    </w:p>
    <w:p w:rsidR="008E60D2"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negende en tiende lid, behelst een overgangsmaatregel van maximaal 10 jaar voor het hybride kapitaal dat onder de huidige Wft is aangetrokken en straks niet meer voldoet aan de eisen onder de richtlijn solvabiliteit II. </w:t>
      </w:r>
    </w:p>
    <w:p w:rsidR="00095B4F" w:rsidRPr="00AD55C1" w:rsidRDefault="003167F3" w:rsidP="00AD55C1">
      <w:pPr>
        <w:spacing w:line="260" w:lineRule="exact"/>
        <w:rPr>
          <w:rFonts w:ascii="Verdana" w:hAnsi="Verdana"/>
          <w:color w:val="000000"/>
          <w:sz w:val="18"/>
          <w:szCs w:val="18"/>
        </w:rPr>
      </w:pPr>
      <w:r w:rsidRPr="00AD55C1">
        <w:rPr>
          <w:rFonts w:ascii="Verdana" w:hAnsi="Verdana"/>
          <w:color w:val="000000"/>
          <w:sz w:val="18"/>
          <w:szCs w:val="18"/>
        </w:rPr>
        <w:t xml:space="preserve">Artikel 308 ter, elfde lid, is een overgangsmaatregel voor het beleggen in securitisaties zoals verpakte Nederlandse hypotheken. </w:t>
      </w:r>
      <w:r w:rsidR="00095B4F" w:rsidRPr="00AD55C1">
        <w:rPr>
          <w:rFonts w:ascii="Verdana" w:hAnsi="Verdana"/>
          <w:color w:val="000000"/>
          <w:sz w:val="18"/>
          <w:szCs w:val="18"/>
        </w:rPr>
        <w:t>Dit omdat</w:t>
      </w:r>
      <w:r w:rsidR="00EC2657" w:rsidRPr="00AD55C1">
        <w:rPr>
          <w:rFonts w:ascii="Verdana" w:hAnsi="Verdana"/>
          <w:color w:val="000000"/>
          <w:sz w:val="18"/>
          <w:szCs w:val="18"/>
        </w:rPr>
        <w:t xml:space="preserve"> </w:t>
      </w:r>
      <w:r w:rsidR="00095B4F" w:rsidRPr="00AD55C1">
        <w:rPr>
          <w:rFonts w:ascii="Verdana" w:hAnsi="Verdana"/>
          <w:color w:val="000000"/>
          <w:sz w:val="18"/>
          <w:szCs w:val="18"/>
        </w:rPr>
        <w:t xml:space="preserve">onder de richtlijn solvabiliteit II, </w:t>
      </w:r>
      <w:r w:rsidR="008E60D2" w:rsidRPr="00AD55C1">
        <w:rPr>
          <w:rFonts w:ascii="Verdana" w:hAnsi="Verdana"/>
          <w:color w:val="000000"/>
          <w:sz w:val="18"/>
          <w:szCs w:val="18"/>
        </w:rPr>
        <w:t xml:space="preserve">evenals </w:t>
      </w:r>
      <w:r w:rsidR="00095B4F" w:rsidRPr="00AD55C1">
        <w:rPr>
          <w:rFonts w:ascii="Verdana" w:hAnsi="Verdana"/>
          <w:color w:val="000000"/>
          <w:sz w:val="18"/>
          <w:szCs w:val="18"/>
        </w:rPr>
        <w:t xml:space="preserve">onder de richtlijn kapitaalvereisten </w:t>
      </w:r>
      <w:r w:rsidR="00E231CF" w:rsidRPr="00AD55C1">
        <w:rPr>
          <w:rFonts w:ascii="Verdana" w:hAnsi="Verdana"/>
          <w:color w:val="000000"/>
          <w:sz w:val="18"/>
          <w:szCs w:val="18"/>
        </w:rPr>
        <w:t xml:space="preserve">voor </w:t>
      </w:r>
      <w:r w:rsidR="00095B4F" w:rsidRPr="00AD55C1">
        <w:rPr>
          <w:rFonts w:ascii="Verdana" w:hAnsi="Verdana"/>
          <w:color w:val="000000"/>
          <w:sz w:val="18"/>
          <w:szCs w:val="18"/>
        </w:rPr>
        <w:t xml:space="preserve">banken, eisen zijn gesteld aan de kwaliteit van dergelijke beleggingen. Het twaalfde geeft een tijdelijke verlichting in de kapitaalseisen in de standaardformule voor de berekening van het concentratierisico in de SCR. </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Het zestiende lid betreft de lidstaatoptie om tot maart 2022 toe te staan dat een intern model onder voorwaarden ook kan bestaan uit een deel van de groep indien zowel de verzekeraar als de uiteindelijke moederonderneming in dezelfde lidstaat </w:t>
      </w:r>
      <w:r w:rsidR="003167F3">
        <w:rPr>
          <w:rFonts w:ascii="Verdana" w:hAnsi="Verdana"/>
          <w:color w:val="000000"/>
          <w:sz w:val="18"/>
          <w:szCs w:val="18"/>
        </w:rPr>
        <w:t xml:space="preserve">is </w:t>
      </w:r>
      <w:r w:rsidRPr="00AD55C1">
        <w:rPr>
          <w:rFonts w:ascii="Verdana" w:hAnsi="Verdana"/>
          <w:color w:val="000000"/>
          <w:sz w:val="18"/>
          <w:szCs w:val="18"/>
        </w:rPr>
        <w:t>gevestigd.</w:t>
      </w:r>
    </w:p>
    <w:p w:rsidR="00095B4F" w:rsidRPr="00AD55C1" w:rsidRDefault="00095B4F" w:rsidP="00AD55C1">
      <w:pPr>
        <w:spacing w:line="260" w:lineRule="exact"/>
        <w:rPr>
          <w:rFonts w:ascii="Verdana" w:hAnsi="Verdana"/>
          <w:color w:val="000000"/>
          <w:sz w:val="18"/>
          <w:szCs w:val="18"/>
        </w:rPr>
      </w:pPr>
      <w:r w:rsidRPr="00AD55C1">
        <w:rPr>
          <w:rFonts w:ascii="Verdana" w:hAnsi="Verdana"/>
          <w:color w:val="000000"/>
          <w:sz w:val="18"/>
          <w:szCs w:val="18"/>
        </w:rPr>
        <w:t xml:space="preserve">Het zeventiende lid bepaalt welke overgangsbepalingen ook van toepassing zullen zijn op het niveau van de </w:t>
      </w:r>
      <w:r w:rsidR="00E231CF" w:rsidRPr="00AD55C1">
        <w:rPr>
          <w:rFonts w:ascii="Verdana" w:hAnsi="Verdana"/>
          <w:color w:val="000000"/>
          <w:sz w:val="18"/>
          <w:szCs w:val="18"/>
        </w:rPr>
        <w:t xml:space="preserve">verzekeringsrichtlijngroep. De tweede alinea van het zeventiende lid is geïmplementeerd in artikel IV, </w:t>
      </w:r>
      <w:r w:rsidR="00D8554C" w:rsidRPr="00AD55C1">
        <w:rPr>
          <w:rFonts w:ascii="Verdana" w:hAnsi="Verdana"/>
          <w:color w:val="000000"/>
          <w:sz w:val="18"/>
          <w:szCs w:val="18"/>
        </w:rPr>
        <w:t xml:space="preserve">vierde </w:t>
      </w:r>
      <w:r w:rsidR="00E231CF" w:rsidRPr="00AD55C1">
        <w:rPr>
          <w:rFonts w:ascii="Verdana" w:hAnsi="Verdana"/>
          <w:color w:val="000000"/>
          <w:sz w:val="18"/>
          <w:szCs w:val="18"/>
        </w:rPr>
        <w:t>lid.</w:t>
      </w:r>
    </w:p>
    <w:p w:rsidR="00FE5670" w:rsidRPr="00AD55C1" w:rsidRDefault="00FE5670" w:rsidP="00AD55C1">
      <w:pPr>
        <w:spacing w:line="260" w:lineRule="exact"/>
        <w:rPr>
          <w:rFonts w:ascii="Verdana" w:hAnsi="Verdana"/>
          <w:color w:val="000000"/>
          <w:sz w:val="18"/>
          <w:szCs w:val="18"/>
        </w:rPr>
      </w:pPr>
    </w:p>
    <w:p w:rsidR="00CE1C56" w:rsidRPr="00AD55C1" w:rsidRDefault="00D8554C" w:rsidP="00AD55C1">
      <w:pPr>
        <w:spacing w:line="260" w:lineRule="exact"/>
        <w:rPr>
          <w:rFonts w:ascii="Verdana" w:hAnsi="Verdana"/>
          <w:color w:val="000000"/>
          <w:sz w:val="18"/>
          <w:szCs w:val="18"/>
        </w:rPr>
      </w:pPr>
      <w:r w:rsidRPr="00AD55C1">
        <w:rPr>
          <w:rFonts w:ascii="Verdana" w:hAnsi="Verdana"/>
          <w:color w:val="000000"/>
          <w:sz w:val="18"/>
          <w:szCs w:val="18"/>
        </w:rPr>
        <w:t xml:space="preserve">De artikelen </w:t>
      </w:r>
      <w:r w:rsidR="00CE1C56" w:rsidRPr="00AD55C1">
        <w:rPr>
          <w:rFonts w:ascii="Verdana" w:hAnsi="Verdana"/>
          <w:color w:val="000000"/>
          <w:sz w:val="18"/>
          <w:szCs w:val="18"/>
        </w:rPr>
        <w:t>308</w:t>
      </w:r>
      <w:r w:rsidR="0037028B" w:rsidRPr="00AD55C1">
        <w:rPr>
          <w:rFonts w:ascii="Verdana" w:hAnsi="Verdana"/>
          <w:color w:val="000000"/>
          <w:sz w:val="18"/>
          <w:szCs w:val="18"/>
        </w:rPr>
        <w:t xml:space="preserve"> quater </w:t>
      </w:r>
      <w:r w:rsidRPr="00AD55C1">
        <w:rPr>
          <w:rFonts w:ascii="Verdana" w:hAnsi="Verdana"/>
          <w:color w:val="000000"/>
          <w:sz w:val="18"/>
          <w:szCs w:val="18"/>
        </w:rPr>
        <w:t xml:space="preserve">en </w:t>
      </w:r>
      <w:r w:rsidR="00CE1C56" w:rsidRPr="00AD55C1">
        <w:rPr>
          <w:rFonts w:ascii="Verdana" w:hAnsi="Verdana"/>
          <w:color w:val="000000"/>
          <w:sz w:val="18"/>
          <w:szCs w:val="18"/>
        </w:rPr>
        <w:t>308</w:t>
      </w:r>
      <w:r w:rsidR="0037028B" w:rsidRPr="00AD55C1">
        <w:rPr>
          <w:rFonts w:ascii="Verdana" w:hAnsi="Verdana"/>
          <w:color w:val="000000"/>
          <w:sz w:val="18"/>
          <w:szCs w:val="18"/>
        </w:rPr>
        <w:t xml:space="preserve"> quinquies </w:t>
      </w:r>
      <w:r w:rsidR="00CE1C56" w:rsidRPr="00AD55C1">
        <w:rPr>
          <w:rFonts w:ascii="Verdana" w:hAnsi="Verdana"/>
          <w:color w:val="000000"/>
          <w:sz w:val="18"/>
          <w:szCs w:val="18"/>
        </w:rPr>
        <w:t>betreffen overgangsmaatregelen die gericht zijn op een versoepeling van de te gebruiken risicovrije rentetermijnstructuur bij de berekening van de technische voorzieningen.</w:t>
      </w:r>
      <w:r w:rsidR="00EC2657" w:rsidRPr="00AD55C1">
        <w:rPr>
          <w:rFonts w:ascii="Verdana" w:hAnsi="Verdana"/>
          <w:color w:val="000000"/>
          <w:sz w:val="18"/>
          <w:szCs w:val="18"/>
        </w:rPr>
        <w:t xml:space="preserve"> </w:t>
      </w:r>
      <w:r w:rsidR="00CE1C56" w:rsidRPr="00AD55C1">
        <w:rPr>
          <w:rFonts w:ascii="Verdana" w:hAnsi="Verdana"/>
          <w:color w:val="000000"/>
          <w:sz w:val="18"/>
          <w:szCs w:val="18"/>
        </w:rPr>
        <w:t>In artikel 308</w:t>
      </w:r>
      <w:r w:rsidR="0037028B" w:rsidRPr="00AD55C1">
        <w:rPr>
          <w:rFonts w:ascii="Verdana" w:hAnsi="Verdana"/>
          <w:color w:val="000000"/>
          <w:sz w:val="18"/>
          <w:szCs w:val="18"/>
        </w:rPr>
        <w:t xml:space="preserve"> quater </w:t>
      </w:r>
      <w:r w:rsidR="00CE1C56" w:rsidRPr="00AD55C1">
        <w:rPr>
          <w:rFonts w:ascii="Verdana" w:hAnsi="Verdana"/>
          <w:color w:val="000000"/>
          <w:sz w:val="18"/>
          <w:szCs w:val="18"/>
        </w:rPr>
        <w:t>gaat het via een middeling van de risicovrije rentetermijnstructuur die in een lidstaat gebruikt werd vóór de invoering van de richtlijn solvabiliteit II en de risicovrije rentetermijnstructuur zoals die gepubliceerd gaat worden door EIOPA onder genoemde richtlijn. De verwachting is dat geen enkele Nederlandse verzekeraar van deze overgangsmaatregel gebruik gaat maken, omdat</w:t>
      </w:r>
      <w:r w:rsidR="00EC2657" w:rsidRPr="00AD55C1">
        <w:rPr>
          <w:rFonts w:ascii="Verdana" w:hAnsi="Verdana"/>
          <w:color w:val="000000"/>
          <w:sz w:val="18"/>
          <w:szCs w:val="18"/>
        </w:rPr>
        <w:t xml:space="preserve"> </w:t>
      </w:r>
      <w:r w:rsidR="00CE1C56" w:rsidRPr="00AD55C1">
        <w:rPr>
          <w:rFonts w:ascii="Verdana" w:hAnsi="Verdana"/>
          <w:color w:val="000000"/>
          <w:sz w:val="18"/>
          <w:szCs w:val="18"/>
        </w:rPr>
        <w:t xml:space="preserve">onder de Wft in de </w:t>
      </w:r>
      <w:r w:rsidR="00CE1C56" w:rsidRPr="00AD55C1">
        <w:rPr>
          <w:rFonts w:ascii="Verdana" w:hAnsi="Verdana"/>
          <w:color w:val="000000"/>
          <w:sz w:val="18"/>
          <w:szCs w:val="18"/>
        </w:rPr>
        <w:lastRenderedPageBreak/>
        <w:t xml:space="preserve">toereikendheidstoets een risicovrije rentetermijnstructuur gebruikt moet worden die prudenter is dan die straks onder de richtlijn solvabiliteit II gebruikt moet worden. Daarom wordt dit artikel </w:t>
      </w:r>
      <w:r w:rsidR="00BC6E60" w:rsidRPr="00AD55C1">
        <w:rPr>
          <w:rFonts w:ascii="Verdana" w:hAnsi="Verdana"/>
          <w:color w:val="000000"/>
          <w:sz w:val="18"/>
          <w:szCs w:val="18"/>
        </w:rPr>
        <w:t xml:space="preserve">vooralsnog </w:t>
      </w:r>
      <w:r w:rsidR="00CE1C56" w:rsidRPr="00AD55C1">
        <w:rPr>
          <w:rFonts w:ascii="Verdana" w:hAnsi="Verdana"/>
          <w:color w:val="000000"/>
          <w:sz w:val="18"/>
          <w:szCs w:val="18"/>
        </w:rPr>
        <w:t xml:space="preserve">niet </w:t>
      </w:r>
      <w:r w:rsidRPr="00AD55C1">
        <w:rPr>
          <w:rFonts w:ascii="Verdana" w:hAnsi="Verdana"/>
          <w:color w:val="000000"/>
          <w:sz w:val="18"/>
          <w:szCs w:val="18"/>
        </w:rPr>
        <w:t>geïmplementeerd</w:t>
      </w:r>
      <w:r w:rsidR="0037028B" w:rsidRPr="00AD55C1">
        <w:rPr>
          <w:rFonts w:ascii="Verdana" w:hAnsi="Verdana"/>
          <w:color w:val="000000"/>
          <w:sz w:val="18"/>
          <w:szCs w:val="18"/>
        </w:rPr>
        <w:t xml:space="preserve"> in het Besluit </w:t>
      </w:r>
      <w:r w:rsidR="00BC6E60" w:rsidRPr="00AD55C1">
        <w:rPr>
          <w:rFonts w:ascii="Verdana" w:hAnsi="Verdana"/>
          <w:sz w:val="18"/>
          <w:szCs w:val="18"/>
        </w:rPr>
        <w:t>prudentiële</w:t>
      </w:r>
      <w:r w:rsidR="0037028B" w:rsidRPr="00AD55C1">
        <w:rPr>
          <w:rFonts w:ascii="Verdana" w:hAnsi="Verdana"/>
          <w:sz w:val="18"/>
          <w:szCs w:val="18"/>
        </w:rPr>
        <w:t xml:space="preserve"> </w:t>
      </w:r>
      <w:r w:rsidR="00BC6E60" w:rsidRPr="00AD55C1">
        <w:rPr>
          <w:rFonts w:ascii="Verdana" w:hAnsi="Verdana"/>
          <w:sz w:val="18"/>
          <w:szCs w:val="18"/>
        </w:rPr>
        <w:t xml:space="preserve">regels </w:t>
      </w:r>
      <w:r w:rsidR="0037028B" w:rsidRPr="00AD55C1">
        <w:rPr>
          <w:rFonts w:ascii="Verdana" w:hAnsi="Verdana"/>
          <w:sz w:val="18"/>
          <w:szCs w:val="18"/>
        </w:rPr>
        <w:t>Wft</w:t>
      </w:r>
      <w:r w:rsidR="00CE1C56" w:rsidRPr="00AD55C1">
        <w:rPr>
          <w:rFonts w:ascii="Verdana" w:hAnsi="Verdana"/>
          <w:color w:val="000000"/>
          <w:sz w:val="18"/>
          <w:szCs w:val="18"/>
        </w:rPr>
        <w:t>.</w:t>
      </w:r>
    </w:p>
    <w:p w:rsidR="00CE1C56" w:rsidRPr="00AD55C1" w:rsidRDefault="00CE1C56" w:rsidP="00AD55C1">
      <w:pPr>
        <w:spacing w:line="260" w:lineRule="exact"/>
        <w:rPr>
          <w:rFonts w:ascii="Verdana" w:hAnsi="Verdana"/>
          <w:color w:val="000000"/>
          <w:sz w:val="18"/>
          <w:szCs w:val="18"/>
        </w:rPr>
      </w:pPr>
      <w:r w:rsidRPr="00AD55C1">
        <w:rPr>
          <w:rFonts w:ascii="Verdana" w:hAnsi="Verdana"/>
          <w:color w:val="000000"/>
          <w:sz w:val="18"/>
          <w:szCs w:val="18"/>
        </w:rPr>
        <w:t>Artikel 308</w:t>
      </w:r>
      <w:r w:rsidR="0037028B" w:rsidRPr="00AD55C1">
        <w:rPr>
          <w:rFonts w:ascii="Verdana" w:hAnsi="Verdana"/>
          <w:color w:val="000000"/>
          <w:sz w:val="18"/>
          <w:szCs w:val="18"/>
        </w:rPr>
        <w:t xml:space="preserve"> quinquies </w:t>
      </w:r>
      <w:r w:rsidRPr="00AD55C1">
        <w:rPr>
          <w:rFonts w:ascii="Verdana" w:hAnsi="Verdana"/>
          <w:color w:val="000000"/>
          <w:sz w:val="18"/>
          <w:szCs w:val="18"/>
        </w:rPr>
        <w:t>regelt de versoepeling van de risicovrije termijnstructuur via twee berekeningen van de technische voorzieningen.</w:t>
      </w:r>
      <w:r w:rsidR="00EC2657" w:rsidRPr="00AD55C1">
        <w:rPr>
          <w:rFonts w:ascii="Verdana" w:hAnsi="Verdana"/>
          <w:color w:val="000000"/>
          <w:sz w:val="18"/>
          <w:szCs w:val="18"/>
        </w:rPr>
        <w:t xml:space="preserve"> </w:t>
      </w:r>
      <w:r w:rsidRPr="00AD55C1">
        <w:rPr>
          <w:rFonts w:ascii="Verdana" w:hAnsi="Verdana"/>
          <w:color w:val="000000"/>
          <w:sz w:val="18"/>
          <w:szCs w:val="18"/>
        </w:rPr>
        <w:t>De verwachting is dat ook deze overgangsmaatregel niet gebruikt gaat worden door Nederlandse verzekeraars. Dit betekent dat ook artikel 308</w:t>
      </w:r>
      <w:r w:rsidRPr="00AD55C1">
        <w:rPr>
          <w:rFonts w:ascii="Verdana" w:hAnsi="Verdana"/>
          <w:color w:val="000000"/>
          <w:sz w:val="18"/>
          <w:szCs w:val="18"/>
          <w:vertAlign w:val="superscript"/>
        </w:rPr>
        <w:t xml:space="preserve"> </w:t>
      </w:r>
      <w:r w:rsidR="0037028B" w:rsidRPr="00AD55C1">
        <w:rPr>
          <w:rFonts w:ascii="Verdana" w:hAnsi="Verdana"/>
          <w:color w:val="000000"/>
          <w:sz w:val="18"/>
          <w:szCs w:val="18"/>
        </w:rPr>
        <w:t>sexies</w:t>
      </w:r>
      <w:r w:rsidRPr="00AD55C1">
        <w:rPr>
          <w:rFonts w:ascii="Verdana" w:hAnsi="Verdana"/>
          <w:color w:val="000000"/>
          <w:sz w:val="18"/>
          <w:szCs w:val="18"/>
        </w:rPr>
        <w:t xml:space="preserve"> waarin aanvullende publicatieverplichtingen worden geëist wanneer gebruik gemaakt wordt van artikel 308</w:t>
      </w:r>
      <w:r w:rsidR="0037028B" w:rsidRPr="00AD55C1">
        <w:rPr>
          <w:rFonts w:ascii="Verdana" w:hAnsi="Verdana"/>
          <w:color w:val="000000"/>
          <w:sz w:val="18"/>
          <w:szCs w:val="18"/>
        </w:rPr>
        <w:t xml:space="preserve"> quater </w:t>
      </w:r>
      <w:r w:rsidRPr="00AD55C1">
        <w:rPr>
          <w:rFonts w:ascii="Verdana" w:hAnsi="Verdana"/>
          <w:color w:val="000000"/>
          <w:sz w:val="18"/>
          <w:szCs w:val="18"/>
        </w:rPr>
        <w:t>of artikel 308</w:t>
      </w:r>
      <w:r w:rsidR="0037028B" w:rsidRPr="00AD55C1">
        <w:rPr>
          <w:rFonts w:ascii="Verdana" w:hAnsi="Verdana"/>
          <w:color w:val="000000"/>
          <w:sz w:val="18"/>
          <w:szCs w:val="18"/>
        </w:rPr>
        <w:t xml:space="preserve"> quinquies </w:t>
      </w:r>
      <w:r w:rsidRPr="00AD55C1">
        <w:rPr>
          <w:rFonts w:ascii="Verdana" w:hAnsi="Verdana"/>
          <w:color w:val="000000"/>
          <w:sz w:val="18"/>
          <w:szCs w:val="18"/>
        </w:rPr>
        <w:t>niet relevant is voor Nederlandse verzekeraars en niet geïmplementeerd hoeft te worden.</w:t>
      </w:r>
    </w:p>
    <w:p w:rsidR="00175B73" w:rsidRPr="00AD55C1" w:rsidRDefault="00175B73" w:rsidP="00AD55C1">
      <w:pPr>
        <w:spacing w:line="260" w:lineRule="exact"/>
        <w:rPr>
          <w:rFonts w:ascii="Verdana" w:hAnsi="Verdana"/>
          <w:color w:val="000000"/>
          <w:sz w:val="18"/>
          <w:szCs w:val="18"/>
        </w:rPr>
      </w:pPr>
    </w:p>
    <w:p w:rsidR="00175B73" w:rsidRPr="00AD55C1" w:rsidRDefault="00175B73" w:rsidP="00AD55C1">
      <w:pPr>
        <w:spacing w:line="260" w:lineRule="exact"/>
        <w:rPr>
          <w:rFonts w:ascii="Verdana" w:hAnsi="Verdana"/>
          <w:color w:val="000000"/>
          <w:sz w:val="18"/>
          <w:szCs w:val="18"/>
        </w:rPr>
      </w:pPr>
    </w:p>
    <w:p w:rsidR="00175B73" w:rsidRPr="00AD55C1" w:rsidRDefault="00D8554C" w:rsidP="00AD55C1">
      <w:pPr>
        <w:spacing w:line="260" w:lineRule="exact"/>
        <w:rPr>
          <w:rFonts w:ascii="Verdana" w:hAnsi="Verdana"/>
          <w:color w:val="000000"/>
          <w:sz w:val="18"/>
          <w:szCs w:val="18"/>
        </w:rPr>
      </w:pPr>
      <w:r w:rsidRPr="00AD55C1">
        <w:rPr>
          <w:rFonts w:ascii="Verdana" w:hAnsi="Verdana"/>
          <w:color w:val="000000"/>
          <w:sz w:val="18"/>
          <w:szCs w:val="18"/>
        </w:rPr>
        <w:t>De Minister van Financiën,</w:t>
      </w:r>
      <w:r w:rsidR="006A2D63" w:rsidRPr="00AD55C1">
        <w:rPr>
          <w:rFonts w:ascii="Verdana" w:hAnsi="Verdana"/>
          <w:color w:val="000000"/>
          <w:sz w:val="18"/>
          <w:szCs w:val="18"/>
        </w:rPr>
        <w:br w:type="page"/>
      </w:r>
      <w:r w:rsidR="00175B73" w:rsidRPr="00AD55C1">
        <w:rPr>
          <w:rFonts w:ascii="Verdana" w:hAnsi="Verdana"/>
          <w:color w:val="000000"/>
          <w:sz w:val="18"/>
          <w:szCs w:val="18"/>
        </w:rPr>
        <w:lastRenderedPageBreak/>
        <w:t>Bijlage</w:t>
      </w:r>
    </w:p>
    <w:p w:rsidR="006A2D63" w:rsidRPr="00AD55C1" w:rsidRDefault="00175B73" w:rsidP="00AD55C1">
      <w:pPr>
        <w:spacing w:line="260" w:lineRule="exact"/>
        <w:rPr>
          <w:rFonts w:ascii="Verdana" w:hAnsi="Verdana"/>
          <w:b/>
          <w:color w:val="000000"/>
          <w:sz w:val="18"/>
          <w:szCs w:val="18"/>
        </w:rPr>
      </w:pPr>
      <w:r w:rsidRPr="00AD55C1">
        <w:rPr>
          <w:rFonts w:ascii="Verdana" w:hAnsi="Verdana"/>
          <w:b/>
          <w:color w:val="000000"/>
          <w:sz w:val="18"/>
          <w:szCs w:val="18"/>
        </w:rPr>
        <w:t xml:space="preserve">Transponeringstabel </w:t>
      </w:r>
      <w:r w:rsidR="00137ECF" w:rsidRPr="00AD55C1">
        <w:rPr>
          <w:rFonts w:ascii="Verdana" w:hAnsi="Verdana"/>
          <w:b/>
          <w:color w:val="000000"/>
          <w:sz w:val="18"/>
          <w:szCs w:val="18"/>
        </w:rPr>
        <w:t>Omnibus II-richtlijn</w:t>
      </w:r>
    </w:p>
    <w:p w:rsidR="00175B73" w:rsidRPr="00AD55C1" w:rsidRDefault="00175B73" w:rsidP="00AD55C1">
      <w:pPr>
        <w:spacing w:line="260" w:lineRule="exact"/>
        <w:rPr>
          <w:rFonts w:ascii="Verdana" w:hAnsi="Verdana"/>
          <w:sz w:val="18"/>
          <w:szCs w:val="18"/>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2"/>
        <w:gridCol w:w="4253"/>
        <w:gridCol w:w="1843"/>
      </w:tblGrid>
      <w:tr w:rsidR="006A2D63" w:rsidRPr="00AD55C1" w:rsidTr="004E7502">
        <w:tc>
          <w:tcPr>
            <w:tcW w:w="1242" w:type="dxa"/>
            <w:tcBorders>
              <w:bottom w:val="single" w:sz="4" w:space="0" w:color="auto"/>
            </w:tcBorders>
            <w:shd w:val="pct20"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w:t>
            </w:r>
          </w:p>
        </w:tc>
        <w:tc>
          <w:tcPr>
            <w:tcW w:w="4253" w:type="dxa"/>
            <w:tcBorders>
              <w:bottom w:val="single" w:sz="4" w:space="0" w:color="auto"/>
            </w:tcBorders>
            <w:shd w:val="pct20"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Inhoud</w:t>
            </w:r>
          </w:p>
        </w:tc>
        <w:tc>
          <w:tcPr>
            <w:tcW w:w="1843" w:type="dxa"/>
            <w:tcBorders>
              <w:bottom w:val="single" w:sz="4" w:space="0" w:color="auto"/>
            </w:tcBorders>
            <w:shd w:val="pct20"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 wet</w:t>
            </w:r>
            <w:r w:rsidR="00D8554C" w:rsidRPr="00AD55C1">
              <w:rPr>
                <w:rFonts w:ascii="Verdana" w:hAnsi="Verdana"/>
                <w:sz w:val="18"/>
                <w:szCs w:val="18"/>
              </w:rPr>
              <w:t>,</w:t>
            </w:r>
            <w:r w:rsidRPr="00AD55C1">
              <w:rPr>
                <w:rFonts w:ascii="Verdana" w:hAnsi="Verdana"/>
                <w:sz w:val="18"/>
                <w:szCs w:val="18"/>
              </w:rPr>
              <w:t xml:space="preserve"> besluit</w:t>
            </w:r>
            <w:r w:rsidR="00D8554C" w:rsidRPr="00AD55C1">
              <w:rPr>
                <w:rFonts w:ascii="Verdana" w:hAnsi="Verdana"/>
                <w:sz w:val="18"/>
                <w:szCs w:val="18"/>
              </w:rPr>
              <w:t xml:space="preserve"> of regeling</w:t>
            </w:r>
          </w:p>
        </w:tc>
      </w:tr>
      <w:tr w:rsidR="007B4AC4" w:rsidRPr="00AD55C1" w:rsidTr="004E7502">
        <w:tc>
          <w:tcPr>
            <w:tcW w:w="1242" w:type="dxa"/>
            <w:shd w:val="clear" w:color="auto" w:fill="FFFFFF"/>
          </w:tcPr>
          <w:p w:rsidR="007B4AC4" w:rsidRPr="00AD55C1" w:rsidRDefault="007B4AC4" w:rsidP="00AD55C1">
            <w:pPr>
              <w:spacing w:line="260" w:lineRule="exact"/>
              <w:rPr>
                <w:rFonts w:ascii="Verdana" w:hAnsi="Verdana"/>
                <w:sz w:val="18"/>
                <w:szCs w:val="18"/>
              </w:rPr>
            </w:pPr>
            <w:r w:rsidRPr="00AD55C1">
              <w:rPr>
                <w:rFonts w:ascii="Verdana" w:hAnsi="Verdana"/>
                <w:sz w:val="18"/>
                <w:szCs w:val="18"/>
              </w:rPr>
              <w:t xml:space="preserve">Artikel 1, </w:t>
            </w:r>
            <w:r w:rsidR="0037028B" w:rsidRPr="00AD55C1">
              <w:rPr>
                <w:rFonts w:ascii="Verdana" w:hAnsi="Verdana"/>
                <w:sz w:val="18"/>
                <w:szCs w:val="18"/>
              </w:rPr>
              <w:t>onderdeel 1</w:t>
            </w:r>
          </w:p>
        </w:tc>
        <w:tc>
          <w:tcPr>
            <w:tcW w:w="4253" w:type="dxa"/>
            <w:shd w:val="clear" w:color="auto" w:fill="FFFFFF"/>
          </w:tcPr>
          <w:p w:rsidR="007B4AC4" w:rsidRPr="00AD55C1" w:rsidRDefault="007B4AC4" w:rsidP="00AD55C1">
            <w:pPr>
              <w:spacing w:line="260" w:lineRule="exact"/>
              <w:rPr>
                <w:rFonts w:ascii="Verdana" w:hAnsi="Verdana"/>
                <w:sz w:val="18"/>
                <w:szCs w:val="18"/>
              </w:rPr>
            </w:pPr>
          </w:p>
        </w:tc>
        <w:tc>
          <w:tcPr>
            <w:tcW w:w="1843" w:type="dxa"/>
            <w:shd w:val="clear" w:color="auto" w:fill="FFFFFF"/>
          </w:tcPr>
          <w:p w:rsidR="007B4AC4" w:rsidRPr="00AD55C1" w:rsidRDefault="007B4AC4" w:rsidP="00AD55C1">
            <w:pPr>
              <w:spacing w:line="260" w:lineRule="exact"/>
              <w:rPr>
                <w:rFonts w:ascii="Verdana" w:hAnsi="Verdana"/>
                <w:sz w:val="18"/>
                <w:szCs w:val="18"/>
              </w:rPr>
            </w:pPr>
            <w:r w:rsidRPr="00AD55C1">
              <w:rPr>
                <w:rFonts w:ascii="Verdana" w:hAnsi="Verdana"/>
                <w:sz w:val="18"/>
                <w:szCs w:val="18"/>
              </w:rPr>
              <w:t>Artikel 5:16 Wft</w:t>
            </w:r>
          </w:p>
        </w:tc>
      </w:tr>
      <w:tr w:rsidR="005B0049" w:rsidRPr="00AD55C1" w:rsidTr="004E7502">
        <w:tc>
          <w:tcPr>
            <w:tcW w:w="1242" w:type="dxa"/>
            <w:shd w:val="clear" w:color="auto" w:fill="FFFFFF"/>
          </w:tcPr>
          <w:p w:rsidR="005B0049" w:rsidRPr="00AD55C1" w:rsidRDefault="00312EFF" w:rsidP="00AD55C1">
            <w:pPr>
              <w:spacing w:line="260" w:lineRule="exact"/>
              <w:rPr>
                <w:rFonts w:ascii="Verdana" w:hAnsi="Verdana"/>
                <w:sz w:val="18"/>
                <w:szCs w:val="18"/>
              </w:rPr>
            </w:pPr>
            <w:r w:rsidRPr="00AD55C1">
              <w:rPr>
                <w:rFonts w:ascii="Verdana" w:hAnsi="Verdana"/>
                <w:sz w:val="18"/>
                <w:szCs w:val="18"/>
              </w:rPr>
              <w:t>2 t/m 6</w:t>
            </w: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312EFF" w:rsidP="00AD55C1">
            <w:pPr>
              <w:spacing w:line="260" w:lineRule="exact"/>
              <w:rPr>
                <w:rFonts w:ascii="Verdana" w:hAnsi="Verdana"/>
                <w:sz w:val="18"/>
                <w:szCs w:val="18"/>
              </w:rPr>
            </w:pPr>
            <w:r w:rsidRPr="00AD55C1">
              <w:rPr>
                <w:rFonts w:ascii="Verdana" w:hAnsi="Verdana"/>
                <w:sz w:val="18"/>
                <w:szCs w:val="18"/>
              </w:rPr>
              <w:t>Gi</w:t>
            </w:r>
          </w:p>
        </w:tc>
      </w:tr>
      <w:tr w:rsidR="00CC46B6" w:rsidRPr="00AD55C1" w:rsidTr="004E7502">
        <w:tc>
          <w:tcPr>
            <w:tcW w:w="1242" w:type="dxa"/>
            <w:shd w:val="clear" w:color="auto" w:fill="FFFFFF"/>
          </w:tcPr>
          <w:p w:rsidR="00CC46B6" w:rsidRPr="00AD55C1" w:rsidRDefault="00CC46B6" w:rsidP="00AD55C1">
            <w:pPr>
              <w:spacing w:line="260" w:lineRule="exact"/>
              <w:rPr>
                <w:rFonts w:ascii="Verdana" w:hAnsi="Verdana"/>
                <w:sz w:val="18"/>
                <w:szCs w:val="18"/>
              </w:rPr>
            </w:pPr>
            <w:r w:rsidRPr="00AD55C1">
              <w:rPr>
                <w:rFonts w:ascii="Verdana" w:hAnsi="Verdana"/>
                <w:sz w:val="18"/>
                <w:szCs w:val="18"/>
              </w:rPr>
              <w:t>Artikel 2, onderdeel</w:t>
            </w:r>
          </w:p>
        </w:tc>
        <w:tc>
          <w:tcPr>
            <w:tcW w:w="4253" w:type="dxa"/>
            <w:shd w:val="clear" w:color="auto" w:fill="FFFFFF"/>
          </w:tcPr>
          <w:p w:rsidR="00CC46B6" w:rsidRPr="00AD55C1" w:rsidRDefault="00CC46B6" w:rsidP="00AD55C1">
            <w:pPr>
              <w:spacing w:line="260" w:lineRule="exact"/>
              <w:rPr>
                <w:rFonts w:ascii="Verdana" w:hAnsi="Verdana"/>
                <w:sz w:val="18"/>
                <w:szCs w:val="18"/>
              </w:rPr>
            </w:pPr>
          </w:p>
        </w:tc>
        <w:tc>
          <w:tcPr>
            <w:tcW w:w="1843" w:type="dxa"/>
            <w:shd w:val="clear" w:color="auto" w:fill="FFFFFF"/>
          </w:tcPr>
          <w:p w:rsidR="00CC46B6" w:rsidRPr="00AD55C1" w:rsidRDefault="00CC46B6"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13 (definities): de definitie van “gekwalificeerde centrale tegenpartij” en de definitie van “externe kredietbeoordelingsinstelling” of “EKBI” worden toegevoegd.</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Lagere regelgeving</w:t>
            </w:r>
          </w:p>
        </w:tc>
      </w:tr>
      <w:tr w:rsidR="006A2D63" w:rsidRPr="00AD55C1" w:rsidTr="004E7502">
        <w:tc>
          <w:tcPr>
            <w:tcW w:w="1242" w:type="dxa"/>
            <w:shd w:val="clear" w:color="auto" w:fill="FFFFFF"/>
          </w:tcPr>
          <w:p w:rsidR="006A2D63" w:rsidRPr="00AD55C1" w:rsidRDefault="00CC46B6" w:rsidP="00AD55C1">
            <w:pPr>
              <w:spacing w:line="260" w:lineRule="exact"/>
              <w:rPr>
                <w:rFonts w:ascii="Verdana" w:hAnsi="Verdana"/>
                <w:sz w:val="18"/>
                <w:szCs w:val="18"/>
              </w:rPr>
            </w:pPr>
            <w:r w:rsidRPr="00AD55C1">
              <w:rPr>
                <w:rFonts w:ascii="Verdana" w:hAnsi="Verdana"/>
                <w:sz w:val="18"/>
                <w:szCs w:val="18"/>
              </w:rPr>
              <w:t>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Opdracht aan EC</w:t>
            </w:r>
          </w:p>
        </w:tc>
        <w:tc>
          <w:tcPr>
            <w:tcW w:w="1843" w:type="dxa"/>
            <w:shd w:val="clear" w:color="auto" w:fill="FFFFFF"/>
          </w:tcPr>
          <w:p w:rsidR="006A2D63" w:rsidRPr="00AD55C1" w:rsidRDefault="00CD3043" w:rsidP="00AD55C1">
            <w:pPr>
              <w:spacing w:line="260" w:lineRule="exact"/>
              <w:rPr>
                <w:rFonts w:ascii="Verdana" w:hAnsi="Verdana"/>
                <w:sz w:val="18"/>
                <w:szCs w:val="18"/>
              </w:rPr>
            </w:pPr>
            <w:r w:rsidRPr="00AD55C1">
              <w:rPr>
                <w:rFonts w:ascii="Verdana" w:hAnsi="Verdana"/>
                <w:sz w:val="18"/>
                <w:szCs w:val="18"/>
              </w:rPr>
              <w:t>Behoeft g</w:t>
            </w:r>
            <w:r w:rsidR="00D8554C" w:rsidRPr="00AD55C1">
              <w:rPr>
                <w:rFonts w:ascii="Verdana" w:hAnsi="Verdana"/>
                <w:sz w:val="18"/>
                <w:szCs w:val="18"/>
              </w:rPr>
              <w:t>een implementatie (</w:t>
            </w:r>
            <w:r w:rsidR="006A2D63" w:rsidRPr="00AD55C1">
              <w:rPr>
                <w:rFonts w:ascii="Verdana" w:hAnsi="Verdana"/>
                <w:sz w:val="18"/>
                <w:szCs w:val="18"/>
              </w:rPr>
              <w:t>Gi</w:t>
            </w:r>
            <w:r w:rsidR="00D8554C" w:rsidRPr="00AD55C1">
              <w:rPr>
                <w:rFonts w:ascii="Verdana" w:hAnsi="Verdana"/>
                <w:sz w:val="18"/>
                <w:szCs w:val="18"/>
              </w:rPr>
              <w: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25bis wordt ingevoegd: kennisgeving en bekendmaking aan EIOPA van vergunningen of intrekking van vergunningen.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Regeling </w:t>
            </w:r>
            <w:r w:rsidR="00CD3043" w:rsidRPr="00AD55C1">
              <w:rPr>
                <w:rFonts w:ascii="Verdana" w:hAnsi="Verdana"/>
                <w:sz w:val="18"/>
                <w:szCs w:val="18"/>
              </w:rPr>
              <w:t>ex artikel 1:69, derde lid, Wft</w:t>
            </w:r>
            <w:r w:rsidR="00317A00" w:rsidRPr="00AD55C1">
              <w:rPr>
                <w:rFonts w:ascii="Verdana" w:hAnsi="Verdana"/>
                <w:sz w:val="18"/>
                <w:szCs w:val="18"/>
              </w:rPr>
              <w:t>.</w:t>
            </w:r>
            <w:r w:rsidR="00D62248" w:rsidRPr="00AD55C1">
              <w:rPr>
                <w:rStyle w:val="Voetnootmarkering"/>
                <w:rFonts w:ascii="Verdana" w:hAnsi="Verdana"/>
                <w:sz w:val="18"/>
                <w:szCs w:val="18"/>
              </w:rPr>
              <w:footnoteReference w:id="18"/>
            </w:r>
            <w:r w:rsidR="00CD3043" w:rsidRPr="00AD55C1">
              <w:rPr>
                <w:rFonts w:ascii="Verdana" w:hAnsi="Verdana"/>
                <w:sz w:val="18"/>
                <w:szCs w:val="18"/>
              </w:rPr>
              <w:t xml:space="preserve">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Opdracht aan EC/EIOPA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Opdracht aan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33 (toezicht op bijkantoren in andere lidstaten gevestigd). Toezichthouder mag verificaties ter plaatse doen. Als dat geweigerd wordt, mag bijstand gevraagd worden van EIOPA</w:t>
            </w:r>
            <w:r w:rsidR="000533F7" w:rsidRPr="00AD55C1">
              <w:rPr>
                <w:rFonts w:ascii="Verdana" w:hAnsi="Verdana"/>
                <w:sz w:val="18"/>
                <w:szCs w:val="18"/>
              </w:rPr>
              <w:t>.</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Min regeling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35 (verzekeringsondernemingen moeten voor toezicht relevante info indienen bij toezichthouders), eerste lid, inleiding, wordt gewijzigd: rekening moet worden gehouden met de doelstellingen van het toezicht genoemd in de artikelen 27 en 28.</w:t>
            </w:r>
          </w:p>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Het zesde lid wordt vervangen door 6-11 (nieuw)(gaat over rapportageverplichting; </w:t>
            </w:r>
            <w:r w:rsidR="00BB5C31" w:rsidRPr="00AD55C1">
              <w:rPr>
                <w:rFonts w:ascii="Verdana" w:hAnsi="Verdana"/>
                <w:sz w:val="18"/>
                <w:szCs w:val="18"/>
              </w:rPr>
              <w:t xml:space="preserve">toezichthouder </w:t>
            </w:r>
            <w:r w:rsidRPr="00AD55C1">
              <w:rPr>
                <w:rFonts w:ascii="Verdana" w:hAnsi="Verdana"/>
                <w:sz w:val="18"/>
                <w:szCs w:val="18"/>
              </w:rPr>
              <w:t>mag aantal keren rapportage onder voorwaarden beperken tbv onderneming).</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1:74 Wft</w:t>
            </w:r>
            <w:r w:rsidR="000533F7" w:rsidRPr="00AD55C1">
              <w:rPr>
                <w:rFonts w:ascii="Verdana" w:hAnsi="Verdana"/>
                <w:sz w:val="18"/>
                <w:szCs w:val="18"/>
              </w:rPr>
              <w:t>,</w:t>
            </w:r>
            <w:r w:rsidRPr="00AD55C1">
              <w:rPr>
                <w:rFonts w:ascii="Verdana" w:hAnsi="Verdana"/>
                <w:sz w:val="18"/>
                <w:szCs w:val="18"/>
              </w:rPr>
              <w:t xml:space="preserve"> 1:25</w:t>
            </w:r>
            <w:r w:rsidR="000533F7" w:rsidRPr="00AD55C1">
              <w:rPr>
                <w:rFonts w:ascii="Verdana" w:hAnsi="Verdana"/>
                <w:sz w:val="18"/>
                <w:szCs w:val="18"/>
              </w:rPr>
              <w:t xml:space="preserve"> Wft e</w:t>
            </w:r>
            <w:r w:rsidRPr="00AD55C1">
              <w:rPr>
                <w:rFonts w:ascii="Verdana" w:hAnsi="Verdana"/>
                <w:sz w:val="18"/>
                <w:szCs w:val="18"/>
              </w:rPr>
              <w:t xml:space="preserve">n Bpr.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37 (</w:t>
            </w:r>
            <w:r w:rsidR="008504B4" w:rsidRPr="00AD55C1">
              <w:rPr>
                <w:rFonts w:ascii="Verdana" w:hAnsi="Verdana"/>
                <w:sz w:val="18"/>
                <w:szCs w:val="18"/>
              </w:rPr>
              <w:t>kapitaal</w:t>
            </w:r>
            <w:r w:rsidRPr="00AD55C1">
              <w:rPr>
                <w:rFonts w:ascii="Verdana" w:hAnsi="Verdana"/>
                <w:sz w:val="18"/>
                <w:szCs w:val="18"/>
              </w:rPr>
              <w:t xml:space="preserve">opslag </w:t>
            </w:r>
            <w:r w:rsidR="008504B4" w:rsidRPr="00AD55C1">
              <w:rPr>
                <w:rFonts w:ascii="Verdana" w:hAnsi="Verdana"/>
                <w:sz w:val="18"/>
                <w:szCs w:val="18"/>
              </w:rPr>
              <w:t>op</w:t>
            </w:r>
            <w:r w:rsidRPr="00AD55C1">
              <w:rPr>
                <w:rFonts w:ascii="Verdana" w:hAnsi="Verdana"/>
                <w:sz w:val="18"/>
                <w:szCs w:val="18"/>
              </w:rPr>
              <w:t xml:space="preserve"> het </w:t>
            </w:r>
            <w:r w:rsidR="008504B4" w:rsidRPr="00AD55C1">
              <w:rPr>
                <w:rFonts w:ascii="Verdana" w:hAnsi="Verdana"/>
                <w:sz w:val="18"/>
                <w:szCs w:val="18"/>
              </w:rPr>
              <w:t>solvabiliteits</w:t>
            </w:r>
            <w:r w:rsidRPr="00AD55C1">
              <w:rPr>
                <w:rFonts w:ascii="Verdana" w:hAnsi="Verdana"/>
                <w:sz w:val="18"/>
                <w:szCs w:val="18"/>
              </w:rPr>
              <w:t xml:space="preserve">kapitaalvereiste). Aanpassing van de voorwaarden waaronder de </w:t>
            </w:r>
            <w:r w:rsidR="000533F7" w:rsidRPr="00AD55C1">
              <w:rPr>
                <w:rFonts w:ascii="Verdana" w:hAnsi="Verdana"/>
                <w:sz w:val="18"/>
                <w:szCs w:val="18"/>
              </w:rPr>
              <w:t>toezichthouder</w:t>
            </w:r>
            <w:r w:rsidRPr="00AD55C1">
              <w:rPr>
                <w:rFonts w:ascii="Verdana" w:hAnsi="Verdana"/>
                <w:sz w:val="18"/>
                <w:szCs w:val="18"/>
              </w:rPr>
              <w:t xml:space="preserve"> een </w:t>
            </w:r>
            <w:r w:rsidR="008504B4" w:rsidRPr="00AD55C1">
              <w:rPr>
                <w:rFonts w:ascii="Verdana" w:hAnsi="Verdana"/>
                <w:sz w:val="18"/>
                <w:szCs w:val="18"/>
              </w:rPr>
              <w:t>kapitaalopslag (</w:t>
            </w:r>
            <w:r w:rsidRPr="00AD55C1">
              <w:rPr>
                <w:rFonts w:ascii="Verdana" w:hAnsi="Verdana"/>
                <w:sz w:val="18"/>
                <w:szCs w:val="18"/>
              </w:rPr>
              <w:t>capital add-on</w:t>
            </w:r>
            <w:r w:rsidR="008504B4" w:rsidRPr="00AD55C1">
              <w:rPr>
                <w:rFonts w:ascii="Verdana" w:hAnsi="Verdana"/>
                <w:sz w:val="18"/>
                <w:szCs w:val="18"/>
              </w:rPr>
              <w:t>)</w:t>
            </w:r>
            <w:r w:rsidRPr="00AD55C1">
              <w:rPr>
                <w:rFonts w:ascii="Verdana" w:hAnsi="Verdana"/>
                <w:sz w:val="18"/>
                <w:szCs w:val="18"/>
              </w:rPr>
              <w:t xml:space="preserve"> mag opleggen.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3:132 Wft  + </w:t>
            </w:r>
            <w:r w:rsidR="000533F7" w:rsidRPr="00AD55C1">
              <w:rPr>
                <w:rFonts w:ascii="Verdana" w:hAnsi="Verdana"/>
                <w:sz w:val="18"/>
                <w:szCs w:val="18"/>
              </w:rPr>
              <w:t xml:space="preserve">Bpr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 artikel 38, tweede lid, van RL SII wordt een vergelijkbare alinea opgenomen als </w:t>
            </w:r>
            <w:r w:rsidRPr="00AD55C1">
              <w:rPr>
                <w:rFonts w:ascii="Verdana" w:hAnsi="Verdana"/>
                <w:sz w:val="18"/>
                <w:szCs w:val="18"/>
              </w:rPr>
              <w:lastRenderedPageBreak/>
              <w:t>hiervoor is toegelicht bij 6 (bij onenigheid over “on-site” inspectie kan EIOPA uitkomst bieden).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 xml:space="preserve">1:56, eerste en tiende lid en </w:t>
            </w:r>
            <w:r w:rsidR="000533F7" w:rsidRPr="00AD55C1">
              <w:rPr>
                <w:rFonts w:ascii="Verdana" w:hAnsi="Verdana"/>
                <w:sz w:val="18"/>
                <w:szCs w:val="18"/>
              </w:rPr>
              <w:lastRenderedPageBreak/>
              <w:t>r</w:t>
            </w:r>
            <w:r w:rsidRPr="00AD55C1">
              <w:rPr>
                <w:rFonts w:ascii="Verdana" w:hAnsi="Verdana"/>
                <w:sz w:val="18"/>
                <w:szCs w:val="18"/>
              </w:rPr>
              <w:t xml:space="preserve">egeling </w:t>
            </w:r>
            <w:r w:rsidR="00317A00" w:rsidRPr="00AD55C1">
              <w:rPr>
                <w:rFonts w:ascii="Verdana" w:hAnsi="Verdana"/>
                <w:sz w:val="18"/>
                <w:szCs w:val="18"/>
              </w:rPr>
              <w:t xml:space="preserve">ex artikel 1:69, derde lid, </w:t>
            </w:r>
            <w:r w:rsidRPr="00AD55C1">
              <w:rPr>
                <w:rFonts w:ascii="Verdana" w:hAnsi="Verdana"/>
                <w:sz w:val="18"/>
                <w:szCs w:val="18"/>
              </w:rPr>
              <w:t>Wft</w:t>
            </w:r>
            <w:r w:rsidR="00317A00" w:rsidRPr="00AD55C1">
              <w:rPr>
                <w:rFonts w:ascii="Verdana" w:hAnsi="Verdana"/>
                <w:sz w:val="18"/>
                <w:szCs w:val="18"/>
              </w:rPr>
              <w: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10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44 (risk management). Aanpassing van dit artikel aan de matchingsopslag en volatiliteitsaanpassing.</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45 (beoordeling door de onderneming van het eigen risico en de solvabiliteit). Bij toepassing van matchingsopslag, volatiliteitsaanpassing of overgangsmaatregelen moet de beoordeling gemaakt</w:t>
            </w:r>
            <w:r w:rsidR="00EC2657" w:rsidRPr="00AD55C1">
              <w:rPr>
                <w:rFonts w:ascii="Verdana" w:hAnsi="Verdana"/>
                <w:sz w:val="18"/>
                <w:szCs w:val="18"/>
              </w:rPr>
              <w:t xml:space="preserve"> </w:t>
            </w:r>
            <w:r w:rsidRPr="00AD55C1">
              <w:rPr>
                <w:rFonts w:ascii="Verdana" w:hAnsi="Verdana"/>
                <w:sz w:val="18"/>
                <w:szCs w:val="18"/>
              </w:rPr>
              <w:t>worden mét en zònder deze aanpassingen.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Opdracht aan de EC/EIOPA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rPr>
          <w:trHeight w:val="1613"/>
        </w:trPr>
        <w:tc>
          <w:tcPr>
            <w:tcW w:w="1242" w:type="dxa"/>
            <w:vMerge w:val="restart"/>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Aan artikel 51, wordt een nieuw lid toegevoegd, waarin is bepaald wat er moet worden gerapporteerd indien de matchingsopslag of de volatilite</w:t>
            </w:r>
            <w:r w:rsidR="000533F7" w:rsidRPr="00AD55C1">
              <w:rPr>
                <w:rFonts w:ascii="Verdana" w:hAnsi="Verdana"/>
                <w:sz w:val="18"/>
                <w:szCs w:val="18"/>
              </w:rPr>
              <w:t>itsaanpassing wordt toegepast.</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rPr>
          <w:trHeight w:val="1612"/>
        </w:trPr>
        <w:tc>
          <w:tcPr>
            <w:tcW w:w="1242" w:type="dxa"/>
            <w:vMerge/>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 het tweede lid, derde alinea, van </w:t>
            </w:r>
            <w:r w:rsidR="000533F7" w:rsidRPr="00AD55C1">
              <w:rPr>
                <w:rFonts w:ascii="Verdana" w:hAnsi="Verdana"/>
                <w:sz w:val="18"/>
                <w:szCs w:val="18"/>
              </w:rPr>
              <w:t>richtlijn solvabiliteit II</w:t>
            </w:r>
            <w:r w:rsidRPr="00AD55C1">
              <w:rPr>
                <w:rFonts w:ascii="Verdana" w:hAnsi="Verdana"/>
                <w:sz w:val="18"/>
                <w:szCs w:val="18"/>
              </w:rPr>
              <w:t xml:space="preserve"> wordt de datum van 31 oktober 2017 vervangen door 31 december 2020. Dit artikel gaat over de inhoud van de rapportageverplichting. Lidstaten mogen het aan verzekeraars toestaan om gedurende een bepaalde overgangstermijn een </w:t>
            </w:r>
            <w:r w:rsidR="003167F3" w:rsidRPr="00AD55C1">
              <w:rPr>
                <w:rFonts w:ascii="Verdana" w:hAnsi="Verdana"/>
                <w:sz w:val="18"/>
                <w:szCs w:val="18"/>
              </w:rPr>
              <w:t>evt</w:t>
            </w:r>
            <w:r w:rsidR="003167F3">
              <w:rPr>
                <w:rFonts w:ascii="Verdana" w:hAnsi="Verdana"/>
                <w:sz w:val="18"/>
                <w:szCs w:val="18"/>
              </w:rPr>
              <w:t>.</w:t>
            </w:r>
            <w:r w:rsidRPr="00AD55C1">
              <w:rPr>
                <w:rFonts w:ascii="Verdana" w:hAnsi="Verdana"/>
                <w:sz w:val="18"/>
                <w:szCs w:val="18"/>
              </w:rPr>
              <w:t xml:space="preserve"> toegepaste </w:t>
            </w:r>
            <w:r w:rsidR="008504B4" w:rsidRPr="00AD55C1">
              <w:rPr>
                <w:rFonts w:ascii="Verdana" w:hAnsi="Verdana"/>
                <w:sz w:val="18"/>
                <w:szCs w:val="18"/>
              </w:rPr>
              <w:t>kapitaalopslag (</w:t>
            </w:r>
            <w:r w:rsidRPr="00AD55C1">
              <w:rPr>
                <w:rFonts w:ascii="Verdana" w:hAnsi="Verdana"/>
                <w:sz w:val="18"/>
                <w:szCs w:val="18"/>
              </w:rPr>
              <w:t>capital add-on</w:t>
            </w:r>
            <w:r w:rsidR="008504B4" w:rsidRPr="00AD55C1">
              <w:rPr>
                <w:rFonts w:ascii="Verdana" w:hAnsi="Verdana"/>
                <w:sz w:val="18"/>
                <w:szCs w:val="18"/>
              </w:rPr>
              <w:t>)</w:t>
            </w:r>
            <w:r w:rsidRPr="00AD55C1">
              <w:rPr>
                <w:rFonts w:ascii="Verdana" w:hAnsi="Verdana"/>
                <w:sz w:val="18"/>
                <w:szCs w:val="18"/>
              </w:rPr>
              <w:t xml:space="preserve"> of de impact van het gebruik van bepaalde parameters, niet bekend te maken.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14</w:t>
            </w:r>
          </w:p>
        </w:tc>
        <w:tc>
          <w:tcPr>
            <w:tcW w:w="4253" w:type="dxa"/>
            <w:shd w:val="clear" w:color="auto" w:fill="FFFFFF"/>
          </w:tcPr>
          <w:p w:rsidR="006A2D63" w:rsidRPr="00AD55C1" w:rsidRDefault="003167F3" w:rsidP="00AD55C1">
            <w:pPr>
              <w:spacing w:line="260" w:lineRule="exact"/>
              <w:rPr>
                <w:rFonts w:ascii="Verdana" w:hAnsi="Verdana"/>
                <w:sz w:val="18"/>
                <w:szCs w:val="18"/>
              </w:rPr>
            </w:pPr>
            <w:r w:rsidRPr="00AD55C1">
              <w:rPr>
                <w:rFonts w:ascii="Verdana" w:hAnsi="Verdana"/>
                <w:sz w:val="18"/>
                <w:szCs w:val="18"/>
              </w:rPr>
              <w:t>Wijz</w:t>
            </w:r>
            <w:r>
              <w:rPr>
                <w:rFonts w:ascii="Verdana" w:hAnsi="Verdana"/>
                <w:sz w:val="18"/>
                <w:szCs w:val="18"/>
              </w:rPr>
              <w:t>.</w:t>
            </w:r>
            <w:r w:rsidR="006A2D63" w:rsidRPr="00AD55C1">
              <w:rPr>
                <w:rFonts w:ascii="Verdana" w:hAnsi="Verdana"/>
                <w:sz w:val="18"/>
                <w:szCs w:val="18"/>
              </w:rPr>
              <w:t xml:space="preserve"> van artikel 52 (infoverstrekking door </w:t>
            </w:r>
            <w:r w:rsidR="00BB5C31" w:rsidRPr="00AD55C1">
              <w:rPr>
                <w:rFonts w:ascii="Verdana" w:hAnsi="Verdana"/>
                <w:sz w:val="18"/>
                <w:szCs w:val="18"/>
              </w:rPr>
              <w:t xml:space="preserve">toezichthoudende instanties </w:t>
            </w:r>
            <w:r w:rsidR="006A2D63" w:rsidRPr="00AD55C1">
              <w:rPr>
                <w:rFonts w:ascii="Verdana" w:hAnsi="Verdana"/>
                <w:sz w:val="18"/>
                <w:szCs w:val="18"/>
              </w:rPr>
              <w:t>van lidstaten aan EIOPA). Wijziging van EAVB in EIOPA + toevoeging van aantal te rapporteren gegevens.</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Regeling </w:t>
            </w:r>
            <w:r w:rsidR="00317A00" w:rsidRPr="00AD55C1">
              <w:rPr>
                <w:rFonts w:ascii="Verdana" w:hAnsi="Verdana"/>
                <w:sz w:val="18"/>
                <w:szCs w:val="18"/>
              </w:rPr>
              <w:t xml:space="preserve">ex artikel 1:69, derde lid,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Opdracht aan EC/EIOPA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Opdracht aan EC/EIOPA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Invoeging van artikel 65bis (Samenwerking met EIOPA). </w:t>
            </w:r>
            <w:r w:rsidR="000533F7" w:rsidRPr="00AD55C1">
              <w:rPr>
                <w:rFonts w:ascii="Verdana" w:hAnsi="Verdana"/>
                <w:sz w:val="18"/>
                <w:szCs w:val="18"/>
              </w:rPr>
              <w:t>Toezichthouders</w:t>
            </w:r>
            <w:r w:rsidRPr="00AD55C1">
              <w:rPr>
                <w:rFonts w:ascii="Verdana" w:hAnsi="Verdana"/>
                <w:sz w:val="18"/>
                <w:szCs w:val="18"/>
              </w:rPr>
              <w:t xml:space="preserve"> van lidstaten moeten samenwerken met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Regeling </w:t>
            </w:r>
            <w:r w:rsidR="00317A00" w:rsidRPr="00AD55C1">
              <w:rPr>
                <w:rFonts w:ascii="Verdana" w:hAnsi="Verdana"/>
                <w:sz w:val="18"/>
                <w:szCs w:val="18"/>
              </w:rPr>
              <w:t xml:space="preserve">ex artikel 1:69, derde lid,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18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Invoeging van artikel 67bis (Onderzoeksbevoegdheden Europees Parlement). </w:t>
            </w:r>
          </w:p>
        </w:tc>
        <w:tc>
          <w:tcPr>
            <w:tcW w:w="1843" w:type="dxa"/>
            <w:shd w:val="clear" w:color="auto" w:fill="FFFFFF"/>
          </w:tcPr>
          <w:p w:rsidR="006A2D63" w:rsidRPr="00AD55C1" w:rsidRDefault="001C5D78" w:rsidP="00AD55C1">
            <w:pPr>
              <w:spacing w:line="260" w:lineRule="exact"/>
              <w:rPr>
                <w:rFonts w:ascii="Verdana" w:hAnsi="Verdana"/>
                <w:sz w:val="18"/>
                <w:szCs w:val="18"/>
              </w:rPr>
            </w:pPr>
            <w:r w:rsidRPr="00AD55C1">
              <w:rPr>
                <w:rFonts w:ascii="Verdana" w:hAnsi="Verdana"/>
                <w:sz w:val="18"/>
                <w:szCs w:val="18"/>
              </w:rPr>
              <w:t xml:space="preserve">Artikel </w:t>
            </w:r>
            <w:r w:rsidR="006A2D63" w:rsidRPr="00AD55C1">
              <w:rPr>
                <w:rFonts w:ascii="Verdana" w:hAnsi="Verdana"/>
                <w:sz w:val="18"/>
                <w:szCs w:val="18"/>
              </w:rPr>
              <w:t xml:space="preserve">1:90, </w:t>
            </w:r>
            <w:r w:rsidR="000137EC" w:rsidRPr="00AD55C1">
              <w:rPr>
                <w:rFonts w:ascii="Verdana" w:hAnsi="Verdana"/>
                <w:sz w:val="18"/>
                <w:szCs w:val="18"/>
              </w:rPr>
              <w:t xml:space="preserve">achtste </w:t>
            </w:r>
            <w:r w:rsidR="006A2D63" w:rsidRPr="00AD55C1">
              <w:rPr>
                <w:rFonts w:ascii="Verdana" w:hAnsi="Verdana"/>
                <w:sz w:val="18"/>
                <w:szCs w:val="18"/>
              </w:rPr>
              <w:t xml:space="preserve">lid </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highlight w:val="yellow"/>
              </w:rPr>
            </w:pPr>
            <w:r w:rsidRPr="00AD55C1">
              <w:rPr>
                <w:rFonts w:ascii="Verdana" w:hAnsi="Verdana"/>
                <w:sz w:val="18"/>
                <w:szCs w:val="18"/>
              </w:rPr>
              <w:t>19</w:t>
            </w:r>
          </w:p>
        </w:tc>
        <w:tc>
          <w:tcPr>
            <w:tcW w:w="4253" w:type="dxa"/>
            <w:shd w:val="clear" w:color="auto" w:fill="FFFFFF"/>
          </w:tcPr>
          <w:p w:rsidR="006A2D63" w:rsidRPr="00AD55C1" w:rsidRDefault="006A2D63" w:rsidP="00AD55C1">
            <w:pPr>
              <w:spacing w:line="260" w:lineRule="exact"/>
              <w:rPr>
                <w:rFonts w:ascii="Verdana" w:hAnsi="Verdana"/>
                <w:sz w:val="18"/>
                <w:szCs w:val="18"/>
                <w:highlight w:val="yellow"/>
              </w:rPr>
            </w:pPr>
            <w:r w:rsidRPr="00AD55C1">
              <w:rPr>
                <w:rFonts w:ascii="Verdana" w:hAnsi="Verdana"/>
                <w:sz w:val="18"/>
                <w:szCs w:val="18"/>
              </w:rPr>
              <w:t>In artikel 69 (bekendmaking van informatie aan overheidsdiensten die met financiële wetgeving zijn belast) wordt de tweede alinea vervangen; betreft aanpassing van verwijzing.</w:t>
            </w:r>
          </w:p>
        </w:tc>
        <w:tc>
          <w:tcPr>
            <w:tcW w:w="1843" w:type="dxa"/>
            <w:shd w:val="clear" w:color="auto" w:fill="FFFFFF"/>
          </w:tcPr>
          <w:p w:rsidR="006A2D63" w:rsidRPr="00AD55C1" w:rsidRDefault="006A2D63" w:rsidP="00AD55C1">
            <w:pPr>
              <w:spacing w:line="260" w:lineRule="exact"/>
              <w:rPr>
                <w:rFonts w:ascii="Verdana" w:hAnsi="Verdana"/>
                <w:sz w:val="18"/>
                <w:szCs w:val="18"/>
                <w:highlight w:val="yellow"/>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70 wordt vervangen/uitgebreid: overdracht van info niet alleen aan centrale banken en monetaire autoriteiten maar ook aan </w:t>
            </w:r>
            <w:r w:rsidR="000533F7" w:rsidRPr="00AD55C1">
              <w:rPr>
                <w:rFonts w:ascii="Verdana" w:hAnsi="Verdana"/>
                <w:sz w:val="18"/>
                <w:szCs w:val="18"/>
              </w:rPr>
              <w:t>toezichthouders</w:t>
            </w:r>
            <w:r w:rsidRPr="00AD55C1">
              <w:rPr>
                <w:rFonts w:ascii="Verdana" w:hAnsi="Verdana"/>
                <w:sz w:val="18"/>
                <w:szCs w:val="18"/>
              </w:rPr>
              <w:t xml:space="preserve"> van betalingssystemen </w:t>
            </w:r>
            <w:r w:rsidRPr="00AD55C1">
              <w:rPr>
                <w:rFonts w:ascii="Verdana" w:hAnsi="Verdana"/>
                <w:sz w:val="18"/>
                <w:szCs w:val="18"/>
              </w:rPr>
              <w:lastRenderedPageBreak/>
              <w:t xml:space="preserve">en het Europees Comité voor systeemrisico’s. </w:t>
            </w:r>
          </w:p>
        </w:tc>
        <w:tc>
          <w:tcPr>
            <w:tcW w:w="1843" w:type="dxa"/>
            <w:shd w:val="clear" w:color="auto" w:fill="FFFFFF"/>
          </w:tcPr>
          <w:p w:rsidR="006A2D63" w:rsidRPr="00AD55C1" w:rsidRDefault="000230DF" w:rsidP="00AD55C1">
            <w:pPr>
              <w:pStyle w:val="Tekstopmerking"/>
              <w:spacing w:line="260" w:lineRule="exact"/>
              <w:rPr>
                <w:rFonts w:ascii="Verdana" w:hAnsi="Verdana"/>
                <w:sz w:val="18"/>
                <w:szCs w:val="18"/>
              </w:rPr>
            </w:pPr>
            <w:r w:rsidRPr="00AD55C1">
              <w:rPr>
                <w:rFonts w:ascii="Verdana" w:hAnsi="Verdana"/>
                <w:sz w:val="18"/>
                <w:szCs w:val="18"/>
              </w:rPr>
              <w:lastRenderedPageBreak/>
              <w:t>Artikel</w:t>
            </w:r>
            <w:r w:rsidR="00FA0EE4" w:rsidRPr="00AD55C1">
              <w:rPr>
                <w:rFonts w:ascii="Verdana" w:hAnsi="Verdana"/>
                <w:sz w:val="18"/>
                <w:szCs w:val="18"/>
              </w:rPr>
              <w:t xml:space="preserve"> </w:t>
            </w:r>
            <w:r w:rsidR="00E22FDD" w:rsidRPr="00AD55C1">
              <w:rPr>
                <w:rFonts w:ascii="Verdana" w:hAnsi="Verdana"/>
                <w:sz w:val="18"/>
                <w:szCs w:val="18"/>
              </w:rPr>
              <w:t xml:space="preserve">1:93, eerste lid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21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71 (convergentie van het toezicht), tweede lid, wordt vervangen: EAVB is vervangen door EIOPA en richtsnoeren van EIOPA.</w:t>
            </w:r>
          </w:p>
        </w:tc>
        <w:tc>
          <w:tcPr>
            <w:tcW w:w="1843" w:type="dxa"/>
            <w:shd w:val="clear" w:color="auto" w:fill="FFFFFF"/>
          </w:tcPr>
          <w:p w:rsidR="006A2D63" w:rsidRPr="00AD55C1" w:rsidRDefault="00E965D4"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75 (waardering van activa en passiva) vervanging van tweede lid (opdracht aan EC) en invoeging nieuw derde lid (opdracht aan EIOPA).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rPr>
          <w:trHeight w:val="1478"/>
        </w:trPr>
        <w:tc>
          <w:tcPr>
            <w:tcW w:w="1242" w:type="dxa"/>
            <w:vMerge w:val="restart"/>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Invoegen van zes nieuwe artikelen: 77bis-77septies over extrapolatie van de relevante risicovrije rentetermijnstructuur, matchingsopslag ivm de relevante risicovrije rentetermijnstructuur, berekening van de matchingsopslag, volatiliteitsaanpassing van de relevante risicovrije rentetermijnstructuur, technische info verstrekt door EIOPA en herziening van langetermijngarantiemaatregelen en maatregelen met betrekking tot het aandelenrisico.</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rPr>
          <w:trHeight w:val="1477"/>
        </w:trPr>
        <w:tc>
          <w:tcPr>
            <w:tcW w:w="1242" w:type="dxa"/>
            <w:vMerge/>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Verzekeraars moeten vooraf toestemming vragen voor gebruik </w:t>
            </w:r>
            <w:r w:rsidR="004E7502" w:rsidRPr="00AD55C1">
              <w:rPr>
                <w:rFonts w:ascii="Verdana" w:hAnsi="Verdana"/>
                <w:sz w:val="18"/>
                <w:szCs w:val="18"/>
              </w:rPr>
              <w:t xml:space="preserve">van de </w:t>
            </w:r>
            <w:r w:rsidRPr="00AD55C1">
              <w:rPr>
                <w:rFonts w:ascii="Verdana" w:hAnsi="Verdana"/>
                <w:sz w:val="18"/>
                <w:szCs w:val="18"/>
              </w:rPr>
              <w:t>matchingsopslag</w:t>
            </w:r>
            <w:r w:rsidR="004E7502" w:rsidRPr="00AD55C1">
              <w:rPr>
                <w:rFonts w:ascii="Verdana" w:hAnsi="Verdana"/>
                <w:sz w:val="18"/>
                <w:szCs w:val="18"/>
              </w:rPr>
              <w:t>.</w:t>
            </w:r>
            <w:r w:rsidRPr="00AD55C1">
              <w:rPr>
                <w:rFonts w:ascii="Verdana" w:hAnsi="Verdana"/>
                <w:sz w:val="18"/>
                <w:szCs w:val="18"/>
              </w:rPr>
              <w:t xml:space="preserve"> </w:t>
            </w:r>
          </w:p>
        </w:tc>
        <w:tc>
          <w:tcPr>
            <w:tcW w:w="1843" w:type="dxa"/>
            <w:shd w:val="clear" w:color="auto" w:fill="FFFFFF"/>
          </w:tcPr>
          <w:p w:rsidR="006A2D63" w:rsidRPr="00AD55C1" w:rsidRDefault="006A2D63" w:rsidP="00AD55C1">
            <w:pPr>
              <w:pStyle w:val="Tekstopmerking"/>
              <w:spacing w:line="260" w:lineRule="exact"/>
              <w:rPr>
                <w:rFonts w:ascii="Verdana" w:hAnsi="Verdana"/>
                <w:sz w:val="18"/>
                <w:szCs w:val="18"/>
              </w:rPr>
            </w:pPr>
            <w:r w:rsidRPr="00AD55C1">
              <w:rPr>
                <w:rFonts w:ascii="Verdana" w:hAnsi="Verdana"/>
                <w:sz w:val="18"/>
                <w:szCs w:val="18"/>
              </w:rPr>
              <w:t>3:67 en uitwerking in 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Vervanging van artikel 86 (gedelegeerde handelingen en technische regulerings- en uitvoeringsnormen); toevoegen van aantal nieuwe onderdelen. Opdracht aan de EC en aan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92 (gedelegeerde handelingen en technische reguleri</w:t>
            </w:r>
            <w:r w:rsidR="000533F7" w:rsidRPr="00AD55C1">
              <w:rPr>
                <w:rFonts w:ascii="Verdana" w:hAnsi="Verdana"/>
                <w:sz w:val="18"/>
                <w:szCs w:val="18"/>
              </w:rPr>
              <w:t>ngs- en uitvoeringsnormen). O</w:t>
            </w:r>
            <w:r w:rsidRPr="00AD55C1">
              <w:rPr>
                <w:rFonts w:ascii="Verdana" w:hAnsi="Verdana"/>
                <w:sz w:val="18"/>
                <w:szCs w:val="18"/>
              </w:rPr>
              <w:t>pdracht aan EC/EIOPA.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97 (gedelegeerde handelingen en technische regulerings- en uitvoeringsnormen</w:t>
            </w:r>
            <w:r w:rsidR="000533F7" w:rsidRPr="00AD55C1">
              <w:rPr>
                <w:rFonts w:ascii="Verdana" w:hAnsi="Verdana"/>
                <w:sz w:val="18"/>
                <w:szCs w:val="18"/>
              </w:rPr>
              <w:t>.</w:t>
            </w:r>
            <w:r w:rsidRPr="00AD55C1">
              <w:rPr>
                <w:rFonts w:ascii="Verdana" w:hAnsi="Verdana"/>
                <w:sz w:val="18"/>
                <w:szCs w:val="18"/>
              </w:rPr>
              <w:t xml:space="preserve"> </w:t>
            </w:r>
            <w:r w:rsidR="000533F7" w:rsidRPr="00AD55C1">
              <w:rPr>
                <w:rFonts w:ascii="Verdana" w:hAnsi="Verdana"/>
                <w:sz w:val="18"/>
                <w:szCs w:val="18"/>
              </w:rPr>
              <w:t>O</w:t>
            </w:r>
            <w:r w:rsidRPr="00AD55C1">
              <w:rPr>
                <w:rFonts w:ascii="Verdana" w:hAnsi="Verdana"/>
                <w:sz w:val="18"/>
                <w:szCs w:val="18"/>
              </w:rPr>
              <w:t>pdracht aan EC/EIOPA.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99 (gedelegeerde handelingen met betrekking tot in aanmerking komend eigen vermogen)</w:t>
            </w:r>
            <w:r w:rsidR="000533F7" w:rsidRPr="00AD55C1">
              <w:rPr>
                <w:rFonts w:ascii="Verdana" w:hAnsi="Verdana"/>
                <w:sz w:val="18"/>
                <w:szCs w:val="18"/>
              </w:rPr>
              <w:t>.</w:t>
            </w:r>
            <w:r w:rsidRPr="00AD55C1">
              <w:rPr>
                <w:rFonts w:ascii="Verdana" w:hAnsi="Verdana"/>
                <w:sz w:val="18"/>
                <w:szCs w:val="18"/>
              </w:rPr>
              <w:t xml:space="preserve"> </w:t>
            </w:r>
            <w:r w:rsidR="000533F7" w:rsidRPr="00AD55C1">
              <w:rPr>
                <w:rFonts w:ascii="Verdana" w:hAnsi="Verdana"/>
                <w:sz w:val="18"/>
                <w:szCs w:val="18"/>
              </w:rPr>
              <w:t>O</w:t>
            </w:r>
            <w:r w:rsidRPr="00AD55C1">
              <w:rPr>
                <w:rFonts w:ascii="Verdana" w:hAnsi="Verdana"/>
                <w:sz w:val="18"/>
                <w:szCs w:val="18"/>
              </w:rPr>
              <w:t>pdracht aan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Invoeging van artikel 109bis (geharmoniseerde technische input voor de standaardformule).</w:t>
            </w:r>
            <w:r w:rsidR="00EC2657" w:rsidRPr="00AD55C1">
              <w:rPr>
                <w:rFonts w:ascii="Verdana" w:hAnsi="Verdana"/>
                <w:sz w:val="18"/>
                <w:szCs w:val="18"/>
              </w:rPr>
              <w:t xml:space="preserve"> </w:t>
            </w:r>
            <w:r w:rsidRPr="00AD55C1">
              <w:rPr>
                <w:rFonts w:ascii="Verdana" w:hAnsi="Verdana"/>
                <w:sz w:val="18"/>
                <w:szCs w:val="18"/>
              </w:rPr>
              <w:t>Opdracht aan het Gemengd Comité, EIOPA en aan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29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111 (gedelegeerde handelingen en technische reguleringsnormen en technische uitvoeringsnormen met betrekking tot de </w:t>
            </w:r>
            <w:r w:rsidRPr="00AD55C1">
              <w:rPr>
                <w:rFonts w:ascii="Verdana" w:hAnsi="Verdana"/>
                <w:sz w:val="18"/>
                <w:szCs w:val="18"/>
              </w:rPr>
              <w:lastRenderedPageBreak/>
              <w:t>artikelen 103 tot en met 109). Opdracht aan de EC.</w:t>
            </w:r>
          </w:p>
        </w:tc>
        <w:tc>
          <w:tcPr>
            <w:tcW w:w="1843" w:type="dxa"/>
            <w:shd w:val="clear" w:color="auto" w:fill="FFFFFF"/>
          </w:tcPr>
          <w:p w:rsidR="006A2D63" w:rsidRPr="00AD55C1" w:rsidRDefault="00170F0A" w:rsidP="00AD55C1">
            <w:pPr>
              <w:spacing w:line="260" w:lineRule="exact"/>
              <w:rPr>
                <w:rFonts w:ascii="Verdana" w:hAnsi="Verdana"/>
                <w:sz w:val="18"/>
                <w:szCs w:val="18"/>
              </w:rPr>
            </w:pPr>
            <w:r w:rsidRPr="00AD55C1">
              <w:rPr>
                <w:rFonts w:ascii="Verdana" w:hAnsi="Verdana"/>
                <w:sz w:val="18"/>
                <w:szCs w:val="18"/>
              </w:rPr>
              <w:lastRenderedPageBreak/>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30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114 (gedelegeerde handelingen en technische uitvoeringsnormen mbt de interne modellen voor de berekening van het solvabiliteitskapitaalvereiste)</w:t>
            </w:r>
            <w:r w:rsidR="000533F7" w:rsidRPr="00AD55C1">
              <w:rPr>
                <w:rFonts w:ascii="Verdana" w:hAnsi="Verdana"/>
                <w:sz w:val="18"/>
                <w:szCs w:val="18"/>
              </w:rPr>
              <w:t>.</w:t>
            </w:r>
            <w:r w:rsidRPr="00AD55C1">
              <w:rPr>
                <w:rFonts w:ascii="Verdana" w:hAnsi="Verdana"/>
                <w:sz w:val="18"/>
                <w:szCs w:val="18"/>
              </w:rPr>
              <w:t xml:space="preserve"> </w:t>
            </w:r>
            <w:r w:rsidR="000533F7" w:rsidRPr="00AD55C1">
              <w:rPr>
                <w:rFonts w:ascii="Verdana" w:hAnsi="Verdana"/>
                <w:sz w:val="18"/>
                <w:szCs w:val="18"/>
              </w:rPr>
              <w:t>O</w:t>
            </w:r>
            <w:r w:rsidRPr="00AD55C1">
              <w:rPr>
                <w:rFonts w:ascii="Verdana" w:hAnsi="Verdana"/>
                <w:sz w:val="18"/>
                <w:szCs w:val="18"/>
              </w:rPr>
              <w:t>pdracht aan EC en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127 (gedelegeerde handelingen mbt de artikelen 120 tot en met 126)</w:t>
            </w:r>
            <w:r w:rsidR="000533F7" w:rsidRPr="00AD55C1">
              <w:rPr>
                <w:rFonts w:ascii="Verdana" w:hAnsi="Verdana"/>
                <w:sz w:val="18"/>
                <w:szCs w:val="18"/>
              </w:rPr>
              <w:t>.</w:t>
            </w:r>
            <w:r w:rsidRPr="00AD55C1">
              <w:rPr>
                <w:rFonts w:ascii="Verdana" w:hAnsi="Verdana"/>
                <w:sz w:val="18"/>
                <w:szCs w:val="18"/>
              </w:rPr>
              <w:t xml:space="preserve"> </w:t>
            </w:r>
            <w:r w:rsidR="000533F7" w:rsidRPr="00AD55C1">
              <w:rPr>
                <w:rFonts w:ascii="Verdana" w:hAnsi="Verdana"/>
                <w:sz w:val="18"/>
                <w:szCs w:val="18"/>
              </w:rPr>
              <w:t>O</w:t>
            </w:r>
            <w:r w:rsidRPr="00AD55C1">
              <w:rPr>
                <w:rFonts w:ascii="Verdana" w:hAnsi="Verdana"/>
                <w:sz w:val="18"/>
                <w:szCs w:val="18"/>
              </w:rPr>
              <w:t>pdracht aan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 artikel 129 van RL SII (berekening van het minimumkapitaalvereiste) </w:t>
            </w:r>
          </w:p>
          <w:p w:rsidR="006A2D63" w:rsidRPr="00AD55C1" w:rsidRDefault="006A2D63" w:rsidP="00AD55C1">
            <w:pPr>
              <w:pStyle w:val="Lijstalinea"/>
              <w:numPr>
                <w:ilvl w:val="0"/>
                <w:numId w:val="51"/>
              </w:numPr>
              <w:spacing w:line="260" w:lineRule="exact"/>
              <w:ind w:left="0" w:firstLine="0"/>
              <w:contextualSpacing/>
              <w:rPr>
                <w:rFonts w:ascii="Verdana" w:hAnsi="Verdana"/>
                <w:sz w:val="18"/>
                <w:szCs w:val="18"/>
              </w:rPr>
            </w:pPr>
            <w:r w:rsidRPr="00AD55C1">
              <w:rPr>
                <w:rFonts w:ascii="Verdana" w:hAnsi="Verdana"/>
                <w:sz w:val="18"/>
                <w:szCs w:val="18"/>
              </w:rPr>
              <w:t xml:space="preserve">Worden de bedragen in het eerste lid, punt d, subparagrafen (i), (ii) en (iii) vervangen (absolute minimumbedragen aan kapitaal zijn verhoogd). </w:t>
            </w:r>
          </w:p>
          <w:p w:rsidR="006A2D63" w:rsidRPr="00AD55C1" w:rsidRDefault="006A2D63" w:rsidP="00AD55C1">
            <w:pPr>
              <w:pStyle w:val="Lijstalinea"/>
              <w:numPr>
                <w:ilvl w:val="0"/>
                <w:numId w:val="51"/>
              </w:numPr>
              <w:spacing w:line="260" w:lineRule="exact"/>
              <w:ind w:left="0" w:firstLine="0"/>
              <w:contextualSpacing/>
              <w:rPr>
                <w:rFonts w:ascii="Verdana" w:hAnsi="Verdana"/>
                <w:sz w:val="18"/>
                <w:szCs w:val="18"/>
              </w:rPr>
            </w:pPr>
            <w:r w:rsidRPr="00AD55C1">
              <w:rPr>
                <w:rFonts w:ascii="Verdana" w:hAnsi="Verdana"/>
                <w:sz w:val="18"/>
                <w:szCs w:val="18"/>
              </w:rPr>
              <w:t>Wordt de datum van 31 oktober 2014 in de tweede alinea in het derde lid vervangen door 31 december 2017.</w:t>
            </w:r>
          </w:p>
          <w:p w:rsidR="006A2D63" w:rsidRPr="00AD55C1" w:rsidRDefault="006A2D63" w:rsidP="00AD55C1">
            <w:pPr>
              <w:pStyle w:val="Lijstalinea"/>
              <w:numPr>
                <w:ilvl w:val="0"/>
                <w:numId w:val="51"/>
              </w:numPr>
              <w:spacing w:line="260" w:lineRule="exact"/>
              <w:ind w:left="0" w:firstLine="0"/>
              <w:contextualSpacing/>
              <w:rPr>
                <w:rFonts w:ascii="Verdana" w:hAnsi="Verdana"/>
                <w:sz w:val="18"/>
                <w:szCs w:val="18"/>
              </w:rPr>
            </w:pPr>
            <w:r w:rsidRPr="00AD55C1">
              <w:rPr>
                <w:rFonts w:ascii="Verdana" w:hAnsi="Verdana"/>
                <w:sz w:val="18"/>
                <w:szCs w:val="18"/>
              </w:rPr>
              <w:t xml:space="preserve">Het vierde lid wordt aangevuld met de zin dat voor de berekening van de limieten in het derde lid, de ondernemingen niet verplicht zijn om </w:t>
            </w:r>
            <w:r w:rsidR="00C44CB9" w:rsidRPr="00AD55C1">
              <w:rPr>
                <w:rFonts w:ascii="Verdana" w:hAnsi="Verdana"/>
                <w:sz w:val="18"/>
                <w:szCs w:val="18"/>
              </w:rPr>
              <w:t>het solvabiliteitskapitaalvereiste</w:t>
            </w:r>
            <w:r w:rsidR="00EC2657" w:rsidRPr="00AD55C1">
              <w:rPr>
                <w:rFonts w:ascii="Verdana" w:hAnsi="Verdana"/>
                <w:sz w:val="18"/>
                <w:szCs w:val="18"/>
              </w:rPr>
              <w:t xml:space="preserve"> </w:t>
            </w:r>
            <w:r w:rsidRPr="00AD55C1">
              <w:rPr>
                <w:rFonts w:ascii="Verdana" w:hAnsi="Verdana"/>
                <w:sz w:val="18"/>
                <w:szCs w:val="18"/>
              </w:rPr>
              <w:t>te berekenen op kwartaalbasis.</w:t>
            </w:r>
          </w:p>
          <w:p w:rsidR="006A2D63" w:rsidRPr="00AD55C1" w:rsidRDefault="006A2D63" w:rsidP="00AD55C1">
            <w:pPr>
              <w:pStyle w:val="Lijstalinea"/>
              <w:numPr>
                <w:ilvl w:val="0"/>
                <w:numId w:val="51"/>
              </w:numPr>
              <w:spacing w:line="260" w:lineRule="exact"/>
              <w:ind w:left="0" w:firstLine="0"/>
              <w:contextualSpacing/>
              <w:rPr>
                <w:rFonts w:ascii="Verdana" w:hAnsi="Verdana"/>
                <w:sz w:val="18"/>
                <w:szCs w:val="18"/>
              </w:rPr>
            </w:pPr>
            <w:r w:rsidRPr="00AD55C1">
              <w:rPr>
                <w:rFonts w:ascii="Verdana" w:hAnsi="Verdana"/>
                <w:sz w:val="18"/>
                <w:szCs w:val="18"/>
              </w:rPr>
              <w:t>Het vijfde lid, eerste alinea wordt vervangen: EC is verplicht aan EP en Raad te rapporteren voor 31-12-2020.</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130 (gedelegeerde handelingen die nader invulling moeten geven aan de berekening van het minimumkapitaalvereiste)</w:t>
            </w:r>
            <w:r w:rsidR="000533F7" w:rsidRPr="00AD55C1">
              <w:rPr>
                <w:rFonts w:ascii="Verdana" w:hAnsi="Verdana"/>
                <w:sz w:val="18"/>
                <w:szCs w:val="18"/>
              </w:rPr>
              <w:t>.</w:t>
            </w:r>
            <w:r w:rsidRPr="00AD55C1">
              <w:rPr>
                <w:rFonts w:ascii="Verdana" w:hAnsi="Verdana"/>
                <w:sz w:val="18"/>
                <w:szCs w:val="18"/>
              </w:rPr>
              <w:t xml:space="preserve"> </w:t>
            </w:r>
            <w:r w:rsidR="000533F7" w:rsidRPr="00AD55C1">
              <w:rPr>
                <w:rFonts w:ascii="Verdana" w:hAnsi="Verdana"/>
                <w:sz w:val="18"/>
                <w:szCs w:val="18"/>
              </w:rPr>
              <w:t>O</w:t>
            </w:r>
            <w:r w:rsidRPr="00AD55C1">
              <w:rPr>
                <w:rFonts w:ascii="Verdana" w:hAnsi="Verdana"/>
                <w:sz w:val="18"/>
                <w:szCs w:val="18"/>
              </w:rPr>
              <w:t>pdracht aan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 artikel 131 (overgangsregeling voor de naleving van het minimumkapitaalvereiste) worden de data “31 oktober 2012” en “31 oktober 2013” vervangen door “31 december 2015” en “31 december 2016”.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135 (gedelegeerde handelingen en technische reguleringsnormen mbt kwalitatieve vereisten</w:t>
            </w:r>
            <w:r w:rsidR="000533F7" w:rsidRPr="00AD55C1">
              <w:rPr>
                <w:rFonts w:ascii="Verdana" w:hAnsi="Verdana"/>
                <w:sz w:val="18"/>
                <w:szCs w:val="18"/>
              </w:rPr>
              <w:t>).</w:t>
            </w:r>
            <w:r w:rsidRPr="00AD55C1">
              <w:rPr>
                <w:rFonts w:ascii="Verdana" w:hAnsi="Verdana"/>
                <w:sz w:val="18"/>
                <w:szCs w:val="18"/>
              </w:rPr>
              <w:t xml:space="preserve"> </w:t>
            </w:r>
            <w:r w:rsidR="000533F7" w:rsidRPr="00AD55C1">
              <w:rPr>
                <w:rFonts w:ascii="Verdana" w:hAnsi="Verdana"/>
                <w:sz w:val="18"/>
                <w:szCs w:val="18"/>
              </w:rPr>
              <w:t>O</w:t>
            </w:r>
            <w:r w:rsidRPr="00AD55C1">
              <w:rPr>
                <w:rFonts w:ascii="Verdana" w:hAnsi="Verdana"/>
                <w:sz w:val="18"/>
                <w:szCs w:val="18"/>
              </w:rPr>
              <w:t>pdracht aan EC en (nieuw)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rPr>
          <w:trHeight w:val="715"/>
        </w:trPr>
        <w:tc>
          <w:tcPr>
            <w:tcW w:w="1242" w:type="dxa"/>
            <w:vMerge w:val="restart"/>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vierde lid van artikel 138 (niet naleving van het solvabiliteitskapitaalvereiste). Verzekeringsonderneming moet saneringsplan indienen en moet kapitaalvereiste binnen zes maanden weer op orde hebben. </w:t>
            </w:r>
          </w:p>
        </w:tc>
        <w:tc>
          <w:tcPr>
            <w:tcW w:w="1843" w:type="dxa"/>
            <w:shd w:val="clear" w:color="auto" w:fill="FFFFFF"/>
          </w:tcPr>
          <w:p w:rsidR="006A2D63" w:rsidRPr="00AD55C1" w:rsidRDefault="006A2D63" w:rsidP="00AD55C1">
            <w:pPr>
              <w:spacing w:line="260" w:lineRule="exact"/>
              <w:rPr>
                <w:rFonts w:ascii="Verdana" w:hAnsi="Verdana"/>
                <w:sz w:val="18"/>
                <w:szCs w:val="18"/>
                <w:highlight w:val="cyan"/>
              </w:rPr>
            </w:pPr>
            <w:r w:rsidRPr="00AD55C1">
              <w:rPr>
                <w:rFonts w:ascii="Verdana" w:hAnsi="Verdana"/>
                <w:sz w:val="18"/>
                <w:szCs w:val="18"/>
              </w:rPr>
              <w:t>3:135 + Bpr</w:t>
            </w:r>
          </w:p>
        </w:tc>
      </w:tr>
      <w:tr w:rsidR="006A2D63" w:rsidRPr="00AD55C1" w:rsidTr="004E7502">
        <w:trPr>
          <w:trHeight w:val="715"/>
        </w:trPr>
        <w:tc>
          <w:tcPr>
            <w:tcW w:w="1242" w:type="dxa"/>
            <w:vMerge/>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Toezichthouder</w:t>
            </w:r>
            <w:r w:rsidR="006A2D63" w:rsidRPr="00AD55C1">
              <w:rPr>
                <w:rFonts w:ascii="Verdana" w:hAnsi="Verdana"/>
                <w:sz w:val="18"/>
                <w:szCs w:val="18"/>
              </w:rPr>
              <w:t xml:space="preserve"> mag deze periode bij uitzonderlijk ongunstige omstandigheden met zeven jaar (was: passende periode) verlengen.</w:t>
            </w:r>
          </w:p>
        </w:tc>
        <w:tc>
          <w:tcPr>
            <w:tcW w:w="1843" w:type="dxa"/>
            <w:shd w:val="clear" w:color="auto" w:fill="FFFFFF"/>
          </w:tcPr>
          <w:p w:rsidR="006A2D63" w:rsidRPr="00AD55C1" w:rsidRDefault="006A2D63" w:rsidP="00AD55C1">
            <w:pPr>
              <w:spacing w:line="260" w:lineRule="exact"/>
              <w:rPr>
                <w:rFonts w:ascii="Verdana" w:hAnsi="Verdana"/>
                <w:sz w:val="18"/>
                <w:szCs w:val="18"/>
                <w:highlight w:val="cyan"/>
              </w:rPr>
            </w:pPr>
            <w:r w:rsidRPr="00AD55C1">
              <w:rPr>
                <w:rFonts w:ascii="Verdana" w:hAnsi="Verdana"/>
                <w:sz w:val="18"/>
                <w:szCs w:val="18"/>
              </w:rPr>
              <w:t>3:135</w:t>
            </w:r>
          </w:p>
        </w:tc>
      </w:tr>
      <w:tr w:rsidR="006A2D63" w:rsidRPr="00AD55C1" w:rsidTr="004E7502">
        <w:trPr>
          <w:trHeight w:val="715"/>
        </w:trPr>
        <w:tc>
          <w:tcPr>
            <w:tcW w:w="1242" w:type="dxa"/>
            <w:vMerge/>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Plus rol van EIOPA wordt vergroot.</w:t>
            </w:r>
          </w:p>
        </w:tc>
        <w:tc>
          <w:tcPr>
            <w:tcW w:w="1843" w:type="dxa"/>
            <w:shd w:val="clear" w:color="auto" w:fill="FFFFFF"/>
          </w:tcPr>
          <w:p w:rsidR="006A2D63" w:rsidRPr="00AD55C1" w:rsidRDefault="00BB5C31"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143 (gedelegeerde handelingen en technische reguleringsnormen mbt artikel 138, lid 4)</w:t>
            </w:r>
            <w:r w:rsidR="000533F7" w:rsidRPr="00AD55C1">
              <w:rPr>
                <w:rFonts w:ascii="Verdana" w:hAnsi="Verdana"/>
                <w:sz w:val="18"/>
                <w:szCs w:val="18"/>
              </w:rPr>
              <w:t>. O</w:t>
            </w:r>
            <w:r w:rsidRPr="00AD55C1">
              <w:rPr>
                <w:rFonts w:ascii="Verdana" w:hAnsi="Verdana"/>
                <w:sz w:val="18"/>
                <w:szCs w:val="18"/>
              </w:rPr>
              <w:t>pdracht aan EC/EIOPA</w:t>
            </w:r>
          </w:p>
        </w:tc>
        <w:tc>
          <w:tcPr>
            <w:tcW w:w="1843" w:type="dxa"/>
            <w:shd w:val="clear" w:color="auto" w:fill="FFFFFF"/>
          </w:tcPr>
          <w:p w:rsidR="006A2D63" w:rsidRPr="00AD55C1" w:rsidRDefault="00BB5C31" w:rsidP="00AD55C1">
            <w:pPr>
              <w:spacing w:line="260" w:lineRule="exact"/>
              <w:rPr>
                <w:rFonts w:ascii="Verdana" w:hAnsi="Verdana"/>
                <w:sz w:val="18"/>
                <w:szCs w:val="18"/>
              </w:rPr>
            </w:pPr>
            <w:r w:rsidRPr="00AD55C1">
              <w:rPr>
                <w:rFonts w:ascii="Verdana" w:hAnsi="Verdana"/>
                <w:sz w:val="18"/>
                <w:szCs w:val="18"/>
              </w:rPr>
              <w:t>Gi (</w:t>
            </w:r>
            <w:r w:rsidR="006A2D63" w:rsidRPr="00AD55C1">
              <w:rPr>
                <w:rFonts w:ascii="Verdana" w:hAnsi="Verdana"/>
                <w:sz w:val="18"/>
                <w:szCs w:val="18"/>
              </w:rPr>
              <w:t>3:135, tweede lid Wft(artikel 143, tweede lid (nieuw)) en 3:135, vierde lid, Wft (artikel 143, eerste lid (nieuw)).</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Aanpassing van verwijzing in artikel 149 (wijzigingen in de aard van de risico’s of verbintenissen); 145 wordt 147.</w:t>
            </w:r>
          </w:p>
        </w:tc>
        <w:tc>
          <w:tcPr>
            <w:tcW w:w="1843" w:type="dxa"/>
            <w:shd w:val="clear" w:color="auto" w:fill="FFFFFF"/>
          </w:tcPr>
          <w:p w:rsidR="006A2D63" w:rsidRPr="00AD55C1" w:rsidRDefault="00CC46B6"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rPr>
          <w:trHeight w:val="1073"/>
        </w:trPr>
        <w:tc>
          <w:tcPr>
            <w:tcW w:w="1242" w:type="dxa"/>
            <w:vMerge w:val="restart"/>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155 (verzekeringsondernemingen die niet aan de wettelijke voorschriften voldoen). Als de lidstaat van herkomst onvoldoende maatregelen treft, mag de lidstaat van ontvangst passende maatregelen treffen. Toegevoegd wordt dat de</w:t>
            </w:r>
            <w:r w:rsidR="008504B4" w:rsidRPr="00AD55C1">
              <w:rPr>
                <w:rFonts w:ascii="Verdana" w:hAnsi="Verdana"/>
                <w:sz w:val="18"/>
                <w:szCs w:val="18"/>
              </w:rPr>
              <w:t xml:space="preserve"> </w:t>
            </w:r>
            <w:r w:rsidR="000533F7" w:rsidRPr="00AD55C1">
              <w:rPr>
                <w:rFonts w:ascii="Verdana" w:hAnsi="Verdana"/>
                <w:sz w:val="18"/>
                <w:szCs w:val="18"/>
              </w:rPr>
              <w:t>toezichthouder</w:t>
            </w:r>
            <w:r w:rsidRPr="00AD55C1">
              <w:rPr>
                <w:rFonts w:ascii="Verdana" w:hAnsi="Verdana"/>
                <w:sz w:val="18"/>
                <w:szCs w:val="18"/>
              </w:rPr>
              <w:t xml:space="preserve">s van beide lidstaten ook de hulp van EIOPA mogen inroepen.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Regeling </w:t>
            </w:r>
            <w:r w:rsidR="00317A00" w:rsidRPr="00AD55C1">
              <w:rPr>
                <w:rFonts w:ascii="Verdana" w:hAnsi="Verdana"/>
                <w:sz w:val="18"/>
                <w:szCs w:val="18"/>
              </w:rPr>
              <w:t xml:space="preserve">ex artikel 1:69, derde lid, Wft </w:t>
            </w:r>
          </w:p>
        </w:tc>
      </w:tr>
      <w:tr w:rsidR="006A2D63" w:rsidRPr="00AD55C1" w:rsidTr="004E7502">
        <w:trPr>
          <w:trHeight w:val="1072"/>
        </w:trPr>
        <w:tc>
          <w:tcPr>
            <w:tcW w:w="1242" w:type="dxa"/>
            <w:vMerge/>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 het negende lid wordt voorts toegevoegd dat niet alleen aan de EC, maar ook aan EIOPA info verstrekt moet worden.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Regeling </w:t>
            </w:r>
            <w:r w:rsidR="00317A00" w:rsidRPr="00AD55C1">
              <w:rPr>
                <w:rFonts w:ascii="Verdana" w:hAnsi="Verdana"/>
                <w:sz w:val="18"/>
                <w:szCs w:val="18"/>
              </w:rPr>
              <w:t xml:space="preserve">ex artikel 1:69, derde lid,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158 (herverzekeringsondernemingen die niet aan de wettelijke voorschriften voldoen), lid 2: vergelijkbare bepaling als onder 39 wordt ingevoegd. </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rPr>
          <w:trHeight w:val="1073"/>
        </w:trPr>
        <w:tc>
          <w:tcPr>
            <w:tcW w:w="1242" w:type="dxa"/>
            <w:vMerge w:val="restart"/>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159 (sta</w:t>
            </w:r>
            <w:r w:rsidR="000E68DA" w:rsidRPr="00AD55C1">
              <w:rPr>
                <w:rFonts w:ascii="Verdana" w:hAnsi="Verdana"/>
                <w:sz w:val="18"/>
                <w:szCs w:val="18"/>
              </w:rPr>
              <w:t>tis</w:t>
            </w:r>
            <w:r w:rsidRPr="00AD55C1">
              <w:rPr>
                <w:rFonts w:ascii="Verdana" w:hAnsi="Verdana"/>
                <w:sz w:val="18"/>
                <w:szCs w:val="18"/>
              </w:rPr>
              <w:t>tische informatie over grensoverschrijdende werkzaamheden).</w:t>
            </w:r>
            <w:r w:rsidR="00EC2657" w:rsidRPr="00AD55C1">
              <w:rPr>
                <w:rFonts w:ascii="Verdana" w:hAnsi="Verdana"/>
                <w:sz w:val="18"/>
                <w:szCs w:val="18"/>
              </w:rPr>
              <w:t xml:space="preserve"> </w:t>
            </w:r>
            <w:r w:rsidRPr="00AD55C1">
              <w:rPr>
                <w:rFonts w:ascii="Verdana" w:hAnsi="Verdana"/>
                <w:sz w:val="18"/>
                <w:szCs w:val="18"/>
              </w:rPr>
              <w:t xml:space="preserve">Opdracht aan verzekeringsonderneming om de toezichthouder van het land van herkomst op de hoogte te stellen van transacties ikv vrije vestiging en transacties ikv vrij verrichten van diensten. </w:t>
            </w:r>
          </w:p>
        </w:tc>
        <w:tc>
          <w:tcPr>
            <w:tcW w:w="1843" w:type="dxa"/>
            <w:shd w:val="clear" w:color="auto" w:fill="FFFFFF"/>
          </w:tcPr>
          <w:p w:rsidR="006A2D63" w:rsidRPr="00AD55C1" w:rsidRDefault="00341097" w:rsidP="00AD55C1">
            <w:pPr>
              <w:pStyle w:val="Tekstopmerking"/>
              <w:spacing w:line="260" w:lineRule="exact"/>
              <w:rPr>
                <w:rFonts w:ascii="Verdana" w:hAnsi="Verdana"/>
                <w:sz w:val="18"/>
                <w:szCs w:val="18"/>
              </w:rPr>
            </w:pPr>
            <w:r w:rsidRPr="00AD55C1">
              <w:rPr>
                <w:rFonts w:ascii="Verdana" w:hAnsi="Verdana"/>
                <w:sz w:val="18"/>
                <w:szCs w:val="18"/>
              </w:rPr>
              <w:t>3</w:t>
            </w:r>
            <w:r w:rsidR="006A2D63" w:rsidRPr="00AD55C1">
              <w:rPr>
                <w:rFonts w:ascii="Verdana" w:hAnsi="Verdana"/>
                <w:sz w:val="18"/>
                <w:szCs w:val="18"/>
              </w:rPr>
              <w:t>:74 Wft</w:t>
            </w:r>
            <w:r w:rsidRPr="00AD55C1">
              <w:rPr>
                <w:rFonts w:ascii="Verdana" w:hAnsi="Verdana"/>
                <w:sz w:val="18"/>
                <w:szCs w:val="18"/>
              </w:rPr>
              <w:t xml:space="preserve"> en Bpr</w:t>
            </w:r>
          </w:p>
        </w:tc>
      </w:tr>
      <w:tr w:rsidR="006A2D63" w:rsidRPr="00AD55C1" w:rsidTr="004E7502">
        <w:trPr>
          <w:trHeight w:val="1072"/>
        </w:trPr>
        <w:tc>
          <w:tcPr>
            <w:tcW w:w="1242" w:type="dxa"/>
            <w:vMerge/>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Toezichthouder</w:t>
            </w:r>
            <w:r w:rsidR="006A2D63" w:rsidRPr="00AD55C1">
              <w:rPr>
                <w:rFonts w:ascii="Verdana" w:hAnsi="Verdana"/>
                <w:sz w:val="18"/>
                <w:szCs w:val="18"/>
              </w:rPr>
              <w:t xml:space="preserve"> lidstaat van herkomst moet de info aan </w:t>
            </w:r>
            <w:r w:rsidRPr="00AD55C1">
              <w:rPr>
                <w:rFonts w:ascii="Verdana" w:hAnsi="Verdana"/>
                <w:sz w:val="18"/>
                <w:szCs w:val="18"/>
              </w:rPr>
              <w:t>toezichthouder</w:t>
            </w:r>
            <w:r w:rsidR="006A2D63" w:rsidRPr="00AD55C1">
              <w:rPr>
                <w:rFonts w:ascii="Verdana" w:hAnsi="Verdana"/>
                <w:sz w:val="18"/>
                <w:szCs w:val="18"/>
              </w:rPr>
              <w:t>s andere betrokken lidstaten verstrekken in geaggregeerde vorm.</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172 (gelijkwaardigheid mbt herverzekeringsondernemingen). EC kan bij gedelegeerde handeling vaststellen dat toezichtsregime in een derdeland </w:t>
            </w:r>
            <w:r w:rsidRPr="00AD55C1">
              <w:rPr>
                <w:rFonts w:ascii="Verdana" w:hAnsi="Verdana"/>
                <w:sz w:val="18"/>
                <w:szCs w:val="18"/>
              </w:rPr>
              <w:lastRenderedPageBreak/>
              <w:t xml:space="preserve">voldoet (opdracht aan EC). EC kan ook een regime als “tijdelijk gelijkwaardig” (uiterlijk tot 31 december 2020) aanmerken indien niet volledig aan alle vereisten is voldaan. Lidstaten moeten herverzekeringsondernemingen vallend onder een (tijdelijk) gelijkwaardig regime hetzelfde behandelen als herverzekeringsondernemingen waaraan overeenkomstig deze richtlijn vergunning is verleend.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 xml:space="preserve">2:26d, derde lid, van de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43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176 (informatieverstrekking door de lidstaten aan de Com</w:t>
            </w:r>
            <w:r w:rsidR="000E68DA" w:rsidRPr="00AD55C1">
              <w:rPr>
                <w:rFonts w:ascii="Verdana" w:hAnsi="Verdana"/>
                <w:sz w:val="18"/>
                <w:szCs w:val="18"/>
              </w:rPr>
              <w:t>m</w:t>
            </w:r>
            <w:r w:rsidRPr="00AD55C1">
              <w:rPr>
                <w:rFonts w:ascii="Verdana" w:hAnsi="Verdana"/>
                <w:sz w:val="18"/>
                <w:szCs w:val="18"/>
              </w:rPr>
              <w:t xml:space="preserve">issie en nieuw: EIOPA). </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177 (Behandeling van verzekerings- en herverzekeringsondernemingen van de Gemeenschap door derde</w:t>
            </w:r>
            <w:r w:rsidR="00745855">
              <w:rPr>
                <w:rFonts w:ascii="Verdana" w:hAnsi="Verdana"/>
                <w:sz w:val="18"/>
                <w:szCs w:val="18"/>
              </w:rPr>
              <w:t xml:space="preserve"> </w:t>
            </w:r>
            <w:r w:rsidRPr="00AD55C1">
              <w:rPr>
                <w:rFonts w:ascii="Verdana" w:hAnsi="Verdana"/>
                <w:sz w:val="18"/>
                <w:szCs w:val="18"/>
              </w:rPr>
              <w:t>landen). Lidstaten moet niet alleen aan de EC informatie verstrekken over moeilijkheden die zij ondervinden, maar ook aan EIOPA.</w:t>
            </w:r>
          </w:p>
        </w:tc>
        <w:tc>
          <w:tcPr>
            <w:tcW w:w="1843" w:type="dxa"/>
            <w:shd w:val="clear" w:color="auto" w:fill="FFFFFF"/>
          </w:tcPr>
          <w:p w:rsidR="00956B8C" w:rsidRPr="00AD55C1" w:rsidRDefault="000533F7" w:rsidP="00AD55C1">
            <w:pPr>
              <w:pStyle w:val="Tekstopmerking"/>
              <w:spacing w:line="260" w:lineRule="exact"/>
              <w:rPr>
                <w:rFonts w:ascii="Verdana" w:hAnsi="Verdana"/>
                <w:sz w:val="18"/>
                <w:szCs w:val="18"/>
              </w:rPr>
            </w:pPr>
            <w:r w:rsidRPr="00AD55C1">
              <w:rPr>
                <w:rFonts w:ascii="Verdana" w:hAnsi="Verdana"/>
                <w:sz w:val="18"/>
                <w:szCs w:val="18"/>
              </w:rPr>
              <w:t xml:space="preserve">Regeling ex artikel 1:69, derde lid,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210 (finite herverzekering), tweede lid, wordt gewijzigd. Vaststellen van g</w:t>
            </w:r>
            <w:r w:rsidR="000533F7" w:rsidRPr="00AD55C1">
              <w:rPr>
                <w:rFonts w:ascii="Verdana" w:hAnsi="Verdana"/>
                <w:sz w:val="18"/>
                <w:szCs w:val="18"/>
              </w:rPr>
              <w:t>edelegeerde handelingen door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704786" w:rsidRPr="00AD55C1" w:rsidTr="004E7502">
        <w:trPr>
          <w:trHeight w:val="1808"/>
        </w:trPr>
        <w:tc>
          <w:tcPr>
            <w:tcW w:w="1242" w:type="dxa"/>
            <w:vMerge w:val="restart"/>
            <w:shd w:val="clear" w:color="auto" w:fill="FFFFFF"/>
          </w:tcPr>
          <w:p w:rsidR="00704786" w:rsidRPr="00AD55C1" w:rsidRDefault="00704786" w:rsidP="00AD55C1">
            <w:pPr>
              <w:spacing w:line="260" w:lineRule="exact"/>
              <w:rPr>
                <w:rFonts w:ascii="Verdana" w:hAnsi="Verdana"/>
                <w:sz w:val="18"/>
                <w:szCs w:val="18"/>
              </w:rPr>
            </w:pPr>
            <w:r w:rsidRPr="00AD55C1">
              <w:rPr>
                <w:rFonts w:ascii="Verdana" w:hAnsi="Verdana"/>
                <w:sz w:val="18"/>
                <w:szCs w:val="18"/>
              </w:rPr>
              <w:t>46</w:t>
            </w:r>
          </w:p>
        </w:tc>
        <w:tc>
          <w:tcPr>
            <w:tcW w:w="4253" w:type="dxa"/>
            <w:shd w:val="clear" w:color="auto" w:fill="FFFFFF"/>
          </w:tcPr>
          <w:p w:rsidR="00704786" w:rsidRPr="00AD55C1" w:rsidRDefault="00704786" w:rsidP="00AD55C1">
            <w:pPr>
              <w:spacing w:line="260" w:lineRule="exact"/>
              <w:rPr>
                <w:rFonts w:ascii="Verdana" w:hAnsi="Verdana"/>
                <w:sz w:val="18"/>
                <w:szCs w:val="18"/>
              </w:rPr>
            </w:pPr>
            <w:r w:rsidRPr="00AD55C1">
              <w:rPr>
                <w:rFonts w:ascii="Verdana" w:hAnsi="Verdana"/>
                <w:sz w:val="18"/>
                <w:szCs w:val="18"/>
              </w:rPr>
              <w:t xml:space="preserve">Wijziging van artikel 211, leden 2 en 3 (vaststellen van gedelegeerde handelingen tot nadere invulling van de criteria voor het verlenen van goedkeuring door de </w:t>
            </w:r>
            <w:r w:rsidR="000533F7" w:rsidRPr="00AD55C1">
              <w:rPr>
                <w:rFonts w:ascii="Verdana" w:hAnsi="Verdana"/>
                <w:sz w:val="18"/>
                <w:szCs w:val="18"/>
              </w:rPr>
              <w:t>toezichthouder</w:t>
            </w:r>
            <w:r w:rsidRPr="00AD55C1">
              <w:rPr>
                <w:rFonts w:ascii="Verdana" w:hAnsi="Verdana"/>
                <w:sz w:val="18"/>
                <w:szCs w:val="18"/>
              </w:rPr>
              <w:t xml:space="preserve">) en invoegen leden 2 bis en 2 </w:t>
            </w:r>
            <w:r w:rsidR="003167F3" w:rsidRPr="00AD55C1">
              <w:rPr>
                <w:rFonts w:ascii="Verdana" w:hAnsi="Verdana"/>
                <w:sz w:val="18"/>
                <w:szCs w:val="18"/>
              </w:rPr>
              <w:t xml:space="preserve">ter. </w:t>
            </w:r>
          </w:p>
        </w:tc>
        <w:tc>
          <w:tcPr>
            <w:tcW w:w="1843" w:type="dxa"/>
            <w:shd w:val="clear" w:color="auto" w:fill="FFFFFF"/>
          </w:tcPr>
          <w:p w:rsidR="00704786" w:rsidRPr="00AD55C1" w:rsidRDefault="00704786" w:rsidP="00AD55C1">
            <w:pPr>
              <w:spacing w:line="260" w:lineRule="exact"/>
              <w:rPr>
                <w:rFonts w:ascii="Verdana" w:hAnsi="Verdana"/>
                <w:sz w:val="18"/>
                <w:szCs w:val="18"/>
              </w:rPr>
            </w:pPr>
            <w:r w:rsidRPr="00AD55C1">
              <w:rPr>
                <w:rFonts w:ascii="Verdana" w:hAnsi="Verdana"/>
                <w:sz w:val="18"/>
                <w:szCs w:val="18"/>
              </w:rPr>
              <w:t>Bpr</w:t>
            </w:r>
          </w:p>
        </w:tc>
      </w:tr>
      <w:tr w:rsidR="00704786" w:rsidRPr="00AD55C1" w:rsidTr="004E7502">
        <w:trPr>
          <w:trHeight w:val="1807"/>
        </w:trPr>
        <w:tc>
          <w:tcPr>
            <w:tcW w:w="1242" w:type="dxa"/>
            <w:vMerge/>
            <w:shd w:val="clear" w:color="auto" w:fill="FFFFFF"/>
          </w:tcPr>
          <w:p w:rsidR="00704786" w:rsidRPr="00AD55C1" w:rsidRDefault="00704786" w:rsidP="00AD55C1">
            <w:pPr>
              <w:spacing w:line="260" w:lineRule="exact"/>
              <w:rPr>
                <w:rFonts w:ascii="Verdana" w:hAnsi="Verdana"/>
                <w:sz w:val="18"/>
                <w:szCs w:val="18"/>
              </w:rPr>
            </w:pPr>
          </w:p>
        </w:tc>
        <w:tc>
          <w:tcPr>
            <w:tcW w:w="4253" w:type="dxa"/>
            <w:shd w:val="clear" w:color="auto" w:fill="FFFFFF"/>
          </w:tcPr>
          <w:p w:rsidR="00704786" w:rsidRPr="00AD55C1" w:rsidRDefault="00704786" w:rsidP="00AD55C1">
            <w:pPr>
              <w:spacing w:line="260" w:lineRule="exact"/>
              <w:rPr>
                <w:rFonts w:ascii="Verdana" w:hAnsi="Verdana"/>
                <w:sz w:val="18"/>
                <w:szCs w:val="18"/>
              </w:rPr>
            </w:pPr>
            <w:r w:rsidRPr="00AD55C1">
              <w:rPr>
                <w:rFonts w:ascii="Verdana" w:hAnsi="Verdana"/>
                <w:sz w:val="18"/>
                <w:szCs w:val="18"/>
              </w:rPr>
              <w:t>Aanpassen datum in overgangsrecht entiteiten voor risico-</w:t>
            </w:r>
            <w:r w:rsidR="00423B53" w:rsidRPr="00AD55C1">
              <w:rPr>
                <w:rFonts w:ascii="Verdana" w:hAnsi="Verdana"/>
                <w:sz w:val="18"/>
                <w:szCs w:val="18"/>
              </w:rPr>
              <w:t>acceptatie</w:t>
            </w:r>
            <w:r w:rsidR="00312C2E" w:rsidRPr="00AD55C1">
              <w:rPr>
                <w:rFonts w:ascii="Verdana" w:hAnsi="Verdana"/>
                <w:sz w:val="18"/>
                <w:szCs w:val="18"/>
              </w:rPr>
              <w:t>.</w:t>
            </w:r>
          </w:p>
        </w:tc>
        <w:tc>
          <w:tcPr>
            <w:tcW w:w="1843" w:type="dxa"/>
            <w:shd w:val="clear" w:color="auto" w:fill="FFFFFF"/>
          </w:tcPr>
          <w:p w:rsidR="00704786" w:rsidRPr="00AD55C1" w:rsidDel="00704786" w:rsidRDefault="00704786" w:rsidP="00AD55C1">
            <w:pPr>
              <w:spacing w:line="260" w:lineRule="exact"/>
              <w:rPr>
                <w:rFonts w:ascii="Verdana" w:hAnsi="Verdana"/>
                <w:sz w:val="18"/>
                <w:szCs w:val="18"/>
              </w:rPr>
            </w:pPr>
            <w:r w:rsidRPr="00AD55C1">
              <w:rPr>
                <w:rFonts w:ascii="Verdana" w:hAnsi="Verdana"/>
                <w:sz w:val="18"/>
                <w:szCs w:val="18"/>
              </w:rPr>
              <w:t>Artikel II, onderdeel B (wijziging van artikel X Implementatie</w:t>
            </w:r>
            <w:r w:rsidR="004E7502" w:rsidRPr="00AD55C1">
              <w:rPr>
                <w:rFonts w:ascii="Verdana" w:hAnsi="Verdana"/>
                <w:sz w:val="18"/>
                <w:szCs w:val="18"/>
              </w:rPr>
              <w:t>-</w:t>
            </w:r>
            <w:r w:rsidRPr="00AD55C1">
              <w:rPr>
                <w:rFonts w:ascii="Verdana" w:hAnsi="Verdana"/>
                <w:sz w:val="18"/>
                <w:szCs w:val="18"/>
              </w:rPr>
              <w:t>wet solvabiliteit II)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212 (definitie college van toezichthouders).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216 (uiteindelijke moederonderneming op nationaal niveau), leden 1, 4 en 7. Besluit over de inrichting van het toezicht moet ook worden medegedeeld aan het college van toezichthouders. </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49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 artikel 217 (moederonderneming die meerdere lidstaten bestrijkt), eerste lid, wordt gewijzigd dat de informatie over een overeenkomst tussen toezichthouders over de uit</w:t>
            </w:r>
            <w:r w:rsidR="000533F7" w:rsidRPr="00AD55C1">
              <w:rPr>
                <w:rFonts w:ascii="Verdana" w:hAnsi="Verdana"/>
                <w:sz w:val="18"/>
                <w:szCs w:val="18"/>
              </w:rPr>
              <w:t>oefening van groepstoezicht op o</w:t>
            </w:r>
            <w:r w:rsidRPr="00AD55C1">
              <w:rPr>
                <w:rFonts w:ascii="Verdana" w:hAnsi="Verdana"/>
                <w:sz w:val="18"/>
                <w:szCs w:val="18"/>
              </w:rPr>
              <w:t xml:space="preserve">ndergroepen, wordt verstrekt aan de groepstoezichthouder en aan de uiteindelijke moederonderneming op het </w:t>
            </w:r>
            <w:r w:rsidRPr="00AD55C1">
              <w:rPr>
                <w:rFonts w:ascii="Verdana" w:hAnsi="Verdana"/>
                <w:sz w:val="18"/>
                <w:szCs w:val="18"/>
              </w:rPr>
              <w:lastRenderedPageBreak/>
              <w:t xml:space="preserve">niveau van de Unie. De groepstoezichthouder stelt het college van toezichthouders in kennis. </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lastRenderedPageBreak/>
              <w:t xml:space="preserve">Regeling ex artikel 1:69, derde lid, Wft </w:t>
            </w:r>
            <w:r w:rsidR="006A2D63" w:rsidRPr="00AD55C1">
              <w:rPr>
                <w:rFonts w:ascii="Verdana" w:hAnsi="Verdana"/>
                <w:sz w:val="18"/>
                <w:szCs w:val="18"/>
              </w:rPr>
              <w:t>3:288, eerste lid.</w:t>
            </w:r>
          </w:p>
          <w:p w:rsidR="006A2D63" w:rsidRPr="00AD55C1" w:rsidRDefault="006A2D63" w:rsidP="00AD55C1">
            <w:pPr>
              <w:spacing w:line="260" w:lineRule="exact"/>
              <w:rPr>
                <w:rFonts w:ascii="Verdana" w:hAnsi="Verdana"/>
                <w:sz w:val="18"/>
                <w:szCs w:val="18"/>
              </w:rPr>
            </w:pPr>
            <w:r w:rsidRPr="00AD55C1">
              <w:rPr>
                <w:rFonts w:ascii="Verdana" w:hAnsi="Verdana"/>
                <w:sz w:val="18"/>
                <w:szCs w:val="18"/>
              </w:rPr>
              <w:t>Lid 3: gi.</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50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227 (verbonden verzekerings- en herverzekeringsondernemingen van derde</w:t>
            </w:r>
            <w:r w:rsidR="00745855">
              <w:rPr>
                <w:rFonts w:ascii="Verdana" w:hAnsi="Verdana"/>
                <w:sz w:val="18"/>
                <w:szCs w:val="18"/>
              </w:rPr>
              <w:t xml:space="preserve"> </w:t>
            </w:r>
            <w:r w:rsidRPr="00AD55C1">
              <w:rPr>
                <w:rFonts w:ascii="Verdana" w:hAnsi="Verdana"/>
                <w:sz w:val="18"/>
                <w:szCs w:val="18"/>
              </w:rPr>
              <w:t>landen) wordt gewijzigd: EIOPA krijgt een rol bij de verificatie of de regeling van het derde land ten minste gelijkwaardig is (tweede lid).</w:t>
            </w:r>
            <w:r w:rsidR="00EC2657" w:rsidRPr="00AD55C1">
              <w:rPr>
                <w:rFonts w:ascii="Verdana" w:hAnsi="Verdana"/>
                <w:sz w:val="18"/>
                <w:szCs w:val="18"/>
              </w:rPr>
              <w:t xml:space="preserve"> </w:t>
            </w:r>
            <w:r w:rsidRPr="00AD55C1">
              <w:rPr>
                <w:rFonts w:ascii="Verdana" w:hAnsi="Verdana"/>
                <w:sz w:val="18"/>
                <w:szCs w:val="18"/>
              </w:rPr>
              <w:t>Verder worden twee nieuwe leden ingevoegd (6 en 7) met nadere regels over de (duur van de) gelijkwaardigheid.</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3:288a, eerste en tweede lid. </w:t>
            </w:r>
          </w:p>
          <w:p w:rsidR="006A2D63" w:rsidRPr="00AD55C1" w:rsidRDefault="000533F7"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 In artikel 231 (intern model van een groep) is een samenwerkingsprocedure toegevoegd.</w:t>
            </w:r>
          </w:p>
        </w:tc>
        <w:tc>
          <w:tcPr>
            <w:tcW w:w="1843" w:type="dxa"/>
            <w:shd w:val="clear" w:color="auto" w:fill="FFFFFF"/>
          </w:tcPr>
          <w:p w:rsidR="006A2D63" w:rsidRPr="00AD55C1" w:rsidRDefault="000533F7" w:rsidP="00AD55C1">
            <w:pPr>
              <w:spacing w:line="260" w:lineRule="exact"/>
              <w:rPr>
                <w:rFonts w:ascii="Verdana" w:hAnsi="Verdana"/>
                <w:sz w:val="18"/>
                <w:szCs w:val="18"/>
              </w:rPr>
            </w:pPr>
            <w:r w:rsidRPr="00AD55C1">
              <w:rPr>
                <w:rFonts w:ascii="Verdana" w:hAnsi="Verdana"/>
                <w:sz w:val="18"/>
                <w:szCs w:val="18"/>
              </w:rPr>
              <w:t>Regeling ex artikel 1:69, derde lid,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De inleiding van artikel 232 (groepsopslagfactor van het kapitaalvereiste) wordt gewijzigd (typefout hersteld).</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3:288b, derde lid</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De derde alinea van artikel 232 wordt gewijzigd: de verwijzing naar artikel 37 is aangepast. (Niet alleen wordt verwezen naar lid 6, maar ook naar de nieuwe leden 6 bis en 6 ter die gaan over de vaststelling van gedelegeerde handelingen door e EC en de vaststelling van technische uitvoeringsnormen door EIOPA).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 artikel 233 (methode 2, alternatieve methode, aftrek en aggregatie), zesde lid, is de verwijzing naar artikel 37 aangepast. (Niet alleen wordt verwezen naar lid 6, maar ook naar de nieuwe leden 6 bis en 6 ter die gaan over de vaststelling van gedelegeerde handelingen door de EC en de vaststelling van technische uitvoeringsnormen door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Besluit prudentieel toezicht financiële groepen Wft.</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234 (gedelegeerde handelingen mbt de artikelen 220 tot en met 229 en 230 tot en met 233). Opdracht aan de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237 (dochterondernemingen van een verzekerings- of herverzekeringsonderneming; besluit over de aanvraag). Rol EIOPA.</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 xml:space="preserve">Regeling ex artikel 1:69, derde lid, Wft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238 (dochterondernemingen van een verzekerings- of herverzekeringsonderneming: vaststelling van het solvabiliteitskapitaalvereiste), vierde lid; op grond van artikel 238 kan de </w:t>
            </w:r>
            <w:r w:rsidR="00D765DC" w:rsidRPr="00AD55C1">
              <w:rPr>
                <w:rFonts w:ascii="Verdana" w:hAnsi="Verdana"/>
                <w:sz w:val="18"/>
                <w:szCs w:val="18"/>
              </w:rPr>
              <w:lastRenderedPageBreak/>
              <w:t>toezichthouder</w:t>
            </w:r>
            <w:r w:rsidRPr="00AD55C1">
              <w:rPr>
                <w:rFonts w:ascii="Verdana" w:hAnsi="Verdana"/>
                <w:sz w:val="18"/>
                <w:szCs w:val="18"/>
              </w:rPr>
              <w:t xml:space="preserve"> voorstellen het solvabiliteitskapitaalvereiste op andere wijze te berekenen dan via de standaardformule. Dit moet de </w:t>
            </w:r>
            <w:r w:rsidR="00D765DC" w:rsidRPr="00AD55C1">
              <w:rPr>
                <w:rFonts w:ascii="Verdana" w:hAnsi="Verdana"/>
                <w:sz w:val="18"/>
                <w:szCs w:val="18"/>
              </w:rPr>
              <w:t>toezichthouder</w:t>
            </w:r>
            <w:r w:rsidRPr="00AD55C1">
              <w:rPr>
                <w:rFonts w:ascii="Verdana" w:hAnsi="Verdana"/>
                <w:sz w:val="18"/>
                <w:szCs w:val="18"/>
              </w:rPr>
              <w:t xml:space="preserve"> overleggen met het college van toezichthouders. In het vierde lid wordt een schrijffout hersteld en wordt aangevuld dat de overeenkomst tussen het college en de </w:t>
            </w:r>
            <w:r w:rsidR="00D765DC" w:rsidRPr="00AD55C1">
              <w:rPr>
                <w:rFonts w:ascii="Verdana" w:hAnsi="Verdana"/>
                <w:sz w:val="18"/>
                <w:szCs w:val="18"/>
              </w:rPr>
              <w:t xml:space="preserve">toezichthouder </w:t>
            </w:r>
            <w:r w:rsidRPr="00AD55C1">
              <w:rPr>
                <w:rFonts w:ascii="Verdana" w:hAnsi="Verdana"/>
                <w:sz w:val="18"/>
                <w:szCs w:val="18"/>
              </w:rPr>
              <w:t xml:space="preserve">als definitief wordt erkend en door alle betrokken </w:t>
            </w:r>
            <w:r w:rsidR="00D765DC" w:rsidRPr="00AD55C1">
              <w:rPr>
                <w:rFonts w:ascii="Verdana" w:hAnsi="Verdana"/>
                <w:sz w:val="18"/>
                <w:szCs w:val="18"/>
              </w:rPr>
              <w:t>toezichthouders</w:t>
            </w:r>
            <w:r w:rsidRPr="00AD55C1">
              <w:rPr>
                <w:rFonts w:ascii="Verdana" w:hAnsi="Verdana"/>
                <w:sz w:val="18"/>
                <w:szCs w:val="18"/>
              </w:rPr>
              <w:t xml:space="preserve"> wordt toegepast.</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Bpr.</w:t>
            </w:r>
          </w:p>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r w:rsidR="006A2D63" w:rsidRPr="00AD55C1">
              <w:rPr>
                <w:rFonts w:ascii="Verdana" w:hAnsi="Verdana"/>
                <w:sz w:val="18"/>
                <w:szCs w:val="18"/>
              </w:rPr>
              <w:t xml:space="preserve">Besluit prudentieel </w:t>
            </w:r>
            <w:r w:rsidR="006A2D63" w:rsidRPr="00AD55C1">
              <w:rPr>
                <w:rFonts w:ascii="Verdana" w:hAnsi="Verdana"/>
                <w:sz w:val="18"/>
                <w:szCs w:val="18"/>
              </w:rPr>
              <w:lastRenderedPageBreak/>
              <w:t>toezicht financiële groepen 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58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238 (zie hiervoor onder 57), vijfde lid. Als de </w:t>
            </w:r>
            <w:r w:rsidR="00D765DC" w:rsidRPr="00AD55C1">
              <w:rPr>
                <w:rFonts w:ascii="Verdana" w:hAnsi="Verdana"/>
                <w:sz w:val="18"/>
                <w:szCs w:val="18"/>
              </w:rPr>
              <w:t>toezichthouder</w:t>
            </w:r>
            <w:r w:rsidRPr="00AD55C1">
              <w:rPr>
                <w:rFonts w:ascii="Verdana" w:hAnsi="Verdana"/>
                <w:sz w:val="18"/>
                <w:szCs w:val="18"/>
              </w:rPr>
              <w:t xml:space="preserve"> en het college van toezichthouders het oneens zijn, dan kunnen zij de zaak naar EIOPA doorverwijzen. EIOPA neemt dan een besluit (eerder was sprake van advies). De </w:t>
            </w:r>
            <w:r w:rsidR="00D765DC" w:rsidRPr="00AD55C1">
              <w:rPr>
                <w:rFonts w:ascii="Verdana" w:hAnsi="Verdana"/>
                <w:sz w:val="18"/>
                <w:szCs w:val="18"/>
              </w:rPr>
              <w:t>toezichthouder</w:t>
            </w:r>
            <w:r w:rsidRPr="00AD55C1">
              <w:rPr>
                <w:rFonts w:ascii="Verdana" w:hAnsi="Verdana"/>
                <w:sz w:val="18"/>
                <w:szCs w:val="18"/>
              </w:rPr>
              <w:t xml:space="preserve"> moet haar besluit overeen laten stemmen met het besluit van EIOPA (deze verplichting is nieuw). </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59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Aan artikel 239 (dochterondernemingen van een verzekerings- of herverzekeringsonderneming: niet-naleving van het solvabiliteits- en minimumkapitaalvereiste) wordt een lid toegevoegd. Als een dochteronderneming niet voldoet moet de </w:t>
            </w:r>
            <w:r w:rsidR="00D765DC" w:rsidRPr="00AD55C1">
              <w:rPr>
                <w:rFonts w:ascii="Verdana" w:hAnsi="Verdana"/>
                <w:sz w:val="18"/>
                <w:szCs w:val="18"/>
              </w:rPr>
              <w:t xml:space="preserve">toezichthouder </w:t>
            </w:r>
            <w:r w:rsidRPr="00AD55C1">
              <w:rPr>
                <w:rFonts w:ascii="Verdana" w:hAnsi="Verdana"/>
                <w:sz w:val="18"/>
                <w:szCs w:val="18"/>
              </w:rPr>
              <w:t xml:space="preserve">aan het college van toezichthouders het saneringsplan en eventueel financieel kortetermijnplan overleggen. College beslist in beginsel over saneringsplan (als geen akkoord, dan beslist de </w:t>
            </w:r>
            <w:r w:rsidR="00D765DC" w:rsidRPr="00AD55C1">
              <w:rPr>
                <w:rFonts w:ascii="Verdana" w:hAnsi="Verdana"/>
                <w:sz w:val="18"/>
                <w:szCs w:val="18"/>
              </w:rPr>
              <w:t>toezichthouder</w:t>
            </w:r>
            <w:r w:rsidRPr="00AD55C1">
              <w:rPr>
                <w:rFonts w:ascii="Verdana" w:hAnsi="Verdana"/>
                <w:sz w:val="18"/>
                <w:szCs w:val="18"/>
              </w:rPr>
              <w:t xml:space="preserve"> van de dochteronderneming). In het nieuwe vierde lid is opgenomen dat de </w:t>
            </w:r>
            <w:r w:rsidR="00D765DC" w:rsidRPr="00AD55C1">
              <w:rPr>
                <w:rFonts w:ascii="Verdana" w:hAnsi="Verdana"/>
                <w:sz w:val="18"/>
                <w:szCs w:val="18"/>
              </w:rPr>
              <w:t>toezichthouder</w:t>
            </w:r>
            <w:r w:rsidRPr="00AD55C1">
              <w:rPr>
                <w:rFonts w:ascii="Verdana" w:hAnsi="Verdana"/>
                <w:sz w:val="18"/>
                <w:szCs w:val="18"/>
              </w:rPr>
              <w:t xml:space="preserve"> of de groepstoezichthouder de zaak onder voorwaarden naar EIOPA kan doorverwijzen en haar om bijstand kan verzoeken.</w:t>
            </w:r>
            <w:r w:rsidR="00EC2657" w:rsidRPr="00AD55C1">
              <w:rPr>
                <w:rFonts w:ascii="Verdana" w:hAnsi="Verdana"/>
                <w:sz w:val="18"/>
                <w:szCs w:val="18"/>
              </w:rPr>
              <w:t xml:space="preserve"> </w:t>
            </w:r>
            <w:r w:rsidRPr="00AD55C1">
              <w:rPr>
                <w:rFonts w:ascii="Verdana" w:hAnsi="Verdana"/>
                <w:sz w:val="18"/>
                <w:szCs w:val="18"/>
              </w:rPr>
              <w:t xml:space="preserve">De </w:t>
            </w:r>
            <w:r w:rsidR="00D765DC" w:rsidRPr="00AD55C1">
              <w:rPr>
                <w:rFonts w:ascii="Verdana" w:hAnsi="Verdana"/>
                <w:sz w:val="18"/>
                <w:szCs w:val="18"/>
              </w:rPr>
              <w:t>toezichthouder</w:t>
            </w:r>
            <w:r w:rsidRPr="00AD55C1">
              <w:rPr>
                <w:rFonts w:ascii="Verdana" w:hAnsi="Verdana"/>
                <w:sz w:val="18"/>
                <w:szCs w:val="18"/>
              </w:rPr>
              <w:t xml:space="preserve"> schort haar besluit op totdat EIOPA haar besluit heeft genomen (besluiten moeten overeenstemmen). </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w:t>
            </w:r>
            <w:r w:rsidR="00A55BA1" w:rsidRPr="00AD55C1">
              <w:rPr>
                <w:rFonts w:ascii="Verdana" w:hAnsi="Verdana"/>
                <w:sz w:val="18"/>
                <w:szCs w:val="18"/>
              </w:rPr>
              <w:t>241</w:t>
            </w:r>
            <w:r w:rsidRPr="00AD55C1">
              <w:rPr>
                <w:rFonts w:ascii="Verdana" w:hAnsi="Verdana"/>
                <w:sz w:val="18"/>
                <w:szCs w:val="18"/>
              </w:rPr>
              <w:t xml:space="preserve"> (dochterondernemingen van een verzekerings- of herverzekeringsonderneming: gedelegeerde handelingen). Opdracht aan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Aanpassing evaluatiebepaling artikel 242, eerste lid; opdracht aan EC.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Vervanging in artikel 242, tweede lid, van de datum van 31 oktober 2015 door 31 december 2018 (uiterste datum evaluatie versterking van het groepstoezicht). Opdracht aan de EC.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244 (toezicht op </w:t>
            </w:r>
            <w:r w:rsidRPr="00AD55C1">
              <w:rPr>
                <w:rFonts w:ascii="Verdana" w:hAnsi="Verdana"/>
                <w:sz w:val="18"/>
                <w:szCs w:val="18"/>
              </w:rPr>
              <w:lastRenderedPageBreak/>
              <w:t>risicoconcentratie), vierde lid; uitwerking gedelegeerde handelingen EC en bevoegdheden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 xml:space="preserve">Gi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64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245 (toezicht op intragroeptransacties), vierde lid; uitwerking gedelegeerde handelingen EC en bevoegdheden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247 (groepstoezichthouder), leden 3 tot en met 7. Dit artikel gaat over de aanwijzing van de groepstoezichthouder. Gewijzigd wordt dat, indien de toezichthouders er niet uitkomen, de zaak kan worden doorverwezen naar EIOPA, dat vervolgens een besluit neemt. Het gezamenlijk door de toezichthouders te nemen besluit moet met dat besluit overeen stemmen.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3:283</w:t>
            </w:r>
            <w:r w:rsidR="00E965D4" w:rsidRPr="00AD55C1">
              <w:rPr>
                <w:rFonts w:ascii="Verdana" w:hAnsi="Verdana"/>
                <w:sz w:val="18"/>
                <w:szCs w:val="18"/>
              </w:rPr>
              <w:t xml:space="preserve"> Wft</w:t>
            </w:r>
            <w:r w:rsidRPr="00AD55C1">
              <w:rPr>
                <w:rFonts w:ascii="Verdana" w:hAnsi="Verdana"/>
                <w:sz w:val="18"/>
                <w:szCs w:val="18"/>
              </w:rPr>
              <w:t>.</w:t>
            </w:r>
          </w:p>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 xml:space="preserve">.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248 (rechten en plichten van de groepstoezichthouder en de andere toezichthouders-College</w:t>
            </w:r>
            <w:r w:rsidR="003167F3">
              <w:rPr>
                <w:rFonts w:ascii="Verdana" w:hAnsi="Verdana"/>
                <w:sz w:val="18"/>
                <w:szCs w:val="18"/>
              </w:rPr>
              <w:t>s</w:t>
            </w:r>
            <w:r w:rsidRPr="00AD55C1">
              <w:rPr>
                <w:rFonts w:ascii="Verdana" w:hAnsi="Verdana"/>
                <w:sz w:val="18"/>
                <w:szCs w:val="18"/>
              </w:rPr>
              <w:t xml:space="preserve"> van toezichthouders). Aan het tweede lid wordt een alinea toegevoegd waarin is bepaald dat indien de groepstoezichthouder haar taken niet goed uitvoert of de leden van het college van toezichthouders niet samenwerken, de zaak naar EIOPA mag worden doorverwezen. Een vergelijkbare bepaling wordt in het vierde lid opgenomen; in het derde en vijfde lid wordt EIOPA ingevoegd in een opsomming. Op grond van het zesde lid stelt EIOPA richtsnoeren vast en op grond van het zevende lid stelt EIOPA technische reguleringsnormen vast. De EC stelt op grond van het achtste lid gedelegeerde handelingen vast. </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r w:rsidRPr="00AD55C1">
              <w:rPr>
                <w:rFonts w:ascii="Verdana" w:hAnsi="Verdana"/>
                <w:sz w:val="18"/>
                <w:szCs w:val="18"/>
              </w:rPr>
              <w:t>Leden 6</w:t>
            </w:r>
            <w:r w:rsidR="00015F62" w:rsidRPr="00AD55C1">
              <w:rPr>
                <w:rFonts w:ascii="Verdana" w:hAnsi="Verdana"/>
                <w:sz w:val="18"/>
                <w:szCs w:val="18"/>
              </w:rPr>
              <w:t>,</w:t>
            </w:r>
            <w:r w:rsidRPr="00AD55C1">
              <w:rPr>
                <w:rFonts w:ascii="Verdana" w:hAnsi="Verdana"/>
                <w:sz w:val="18"/>
                <w:szCs w:val="18"/>
              </w:rPr>
              <w:t xml:space="preserve"> 7</w:t>
            </w:r>
            <w:r w:rsidR="00015F62" w:rsidRPr="00AD55C1">
              <w:rPr>
                <w:rFonts w:ascii="Verdana" w:hAnsi="Verdana"/>
                <w:sz w:val="18"/>
                <w:szCs w:val="18"/>
              </w:rPr>
              <w:t xml:space="preserve"> en 8</w:t>
            </w:r>
            <w:r w:rsidRPr="00AD55C1">
              <w:rPr>
                <w:rFonts w:ascii="Verdana" w:hAnsi="Verdana"/>
                <w:sz w:val="18"/>
                <w:szCs w:val="18"/>
              </w:rPr>
              <w:t>: 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249 (samenwerking en uitwisseling van informatie tussen toezichthoudende autoriteiten). In het eerste lid is de zinsnede dat info wordt uitgewisseld zodra deze beschikbaar is, aangevuld met de zinsnede “of zij wisselen informatie uit op verzoek “. Een nieuw lid wordt ingevoegd waarin is opgenomen dat indien door een </w:t>
            </w:r>
            <w:r w:rsidR="00D765DC" w:rsidRPr="00AD55C1">
              <w:rPr>
                <w:rFonts w:ascii="Verdana" w:hAnsi="Verdana"/>
                <w:sz w:val="18"/>
                <w:szCs w:val="18"/>
              </w:rPr>
              <w:t>toezichthouder</w:t>
            </w:r>
            <w:r w:rsidRPr="00AD55C1">
              <w:rPr>
                <w:rFonts w:ascii="Verdana" w:hAnsi="Verdana"/>
                <w:sz w:val="18"/>
                <w:szCs w:val="18"/>
              </w:rPr>
              <w:t xml:space="preserve"> niet tijdig informatie wordt verstrekt aan de andere toezichthouders, de zaak kan worden doorverwezen naar EIOPA. In het derde lid wordt opgenomen dat EIOPA technische reguleringnormen kan opstellen. In het vierde lid is opgenomen dat EIOPA technische uitvoeringsnormen moet opstellen die vervolgens door de EC moeten worden vastgesteld. </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68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250 (overleg tussen toezichthoudende autoriteiten). Dit artikel gaat over het verplicht overleg dat gevoerd moet worden tussen de betrokken toezichthouders alvorens één van hen een besluit neemt op met name genoemde punten. Een nieuw ingevoegd punt is een besluit over de verlenging van de herstelperiode overeenkomstig artikel 138, leden 3 en 4. </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r w:rsidR="006A2D63" w:rsidRPr="00AD55C1">
              <w:rPr>
                <w:rFonts w:ascii="Verdana" w:hAnsi="Verdana"/>
                <w:sz w:val="18"/>
                <w:szCs w:val="18"/>
              </w:rPr>
              <w:t>Besluit prudentieel toezicht financiële groepen 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69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254 (toegang tot informatie). In het tweede lid, eerste alinea, is de verwijzing naar artikel 35 aangepast in verband met de invoeging van twee nieuwe leden in dat artikel.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3:288h, eerste lid</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70</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 artikel 255 (verificatie van informatie), worden in het tweede lid twee alinea’s toegevoegd waardoor het voor de verzoekende toezichthouder mogelijk wordt de zaak naar EIOPA door te verwijzen. Nieuw is voorts dat EIOPA gerechtigd is deel te nemen aan inspecties ter plaatse.</w:t>
            </w:r>
          </w:p>
        </w:tc>
        <w:tc>
          <w:tcPr>
            <w:tcW w:w="1843" w:type="dxa"/>
            <w:shd w:val="clear" w:color="auto" w:fill="FFFFFF"/>
          </w:tcPr>
          <w:p w:rsidR="006A2D63" w:rsidRPr="00AD55C1" w:rsidRDefault="00D765DC" w:rsidP="00AD55C1">
            <w:pPr>
              <w:spacing w:line="260" w:lineRule="exact"/>
              <w:rPr>
                <w:rFonts w:ascii="Verdana" w:hAnsi="Verdana"/>
                <w:sz w:val="18"/>
                <w:szCs w:val="18"/>
              </w:rPr>
            </w:pPr>
            <w:r w:rsidRPr="00AD55C1">
              <w:rPr>
                <w:rFonts w:ascii="Verdana" w:hAnsi="Verdana"/>
                <w:sz w:val="18"/>
                <w:szCs w:val="18"/>
              </w:rPr>
              <w:t xml:space="preserve">Regeling ex artikel 1:69, derde lid, Wft </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256 (verslag over de solvabiliteit en de financiële toestand van de groep), vierde lid; nadere invulling van de bevoegdheid van de EC om gedelegeerde handelingen vast te stellen plus toevoeging vijfde lid met bevoegdheden voor EIOPA en EC. </w:t>
            </w:r>
          </w:p>
        </w:tc>
        <w:tc>
          <w:tcPr>
            <w:tcW w:w="1843" w:type="dxa"/>
            <w:shd w:val="clear" w:color="auto" w:fill="FFFFFF"/>
          </w:tcPr>
          <w:p w:rsidR="006A2D63" w:rsidRPr="00AD55C1" w:rsidRDefault="00170F0A"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256bis (groepsstructuur) wordt ingevoegd: ondernemingen en holdings moeten jaarlijks op het niveau van de groep hun juridische structuur en governance- en organisatiestructuur publiekelijk bekendmaken.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3:288i, eerste lid</w:t>
            </w:r>
            <w:r w:rsidR="009F7E2B" w:rsidRPr="00AD55C1">
              <w:rPr>
                <w:rFonts w:ascii="Verdana" w:hAnsi="Verdana"/>
                <w:sz w:val="18"/>
                <w:szCs w:val="18"/>
              </w:rPr>
              <w:t xml:space="preserve"> sub b</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258 (handhavingsmaatregelen) lid 3. Opdracht aan EC om gedelegeerde handelingen vast te stellen.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259 (rapportage door EIOPA). Opdracht aan EIOPA.</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260 (moederonderneming buiten de Unie: verificatie van gelijkwaardigheid wordt gewijzigd).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3:288j, eerste lid</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 artikel 262 (moederondernemingen van buiten de Gemeenschap: ontbreken van gelijkwaardigheid), wordt in het eerste lid, de eerste alinea gewijzigd. Deze bepaling gaat over de bepalingen die een lidstaat moet toepassen indien gelijkwaardig toezicht ontbreekt. Gewijzigd wordt dat voor toepassing van deze bepaling ook geen sprake mag zijn van </w:t>
            </w:r>
            <w:r w:rsidRPr="00AD55C1">
              <w:rPr>
                <w:rFonts w:ascii="Verdana" w:hAnsi="Verdana"/>
                <w:i/>
                <w:sz w:val="18"/>
                <w:szCs w:val="18"/>
              </w:rPr>
              <w:t xml:space="preserve">tijdelijke </w:t>
            </w:r>
            <w:r w:rsidRPr="00AD55C1">
              <w:rPr>
                <w:rFonts w:ascii="Verdana" w:hAnsi="Verdana"/>
                <w:sz w:val="18"/>
                <w:szCs w:val="18"/>
              </w:rPr>
              <w:lastRenderedPageBreak/>
              <w:t xml:space="preserve">gelijkwaardigheid.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3:288k, eerste lid</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77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In artikel 300 (herziening van in euro luidende bedragen) wordt de datum “31 oktober 2012” in de eerste alinea vervangen door: 31 december 2015.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301 wordt vervangen door de artikelen 301 (</w:t>
            </w:r>
            <w:r w:rsidR="003167F3" w:rsidRPr="00AD55C1">
              <w:rPr>
                <w:rFonts w:ascii="Verdana" w:hAnsi="Verdana"/>
                <w:sz w:val="18"/>
                <w:szCs w:val="18"/>
              </w:rPr>
              <w:t>comitéprocedure</w:t>
            </w:r>
            <w:r w:rsidRPr="00AD55C1">
              <w:rPr>
                <w:rFonts w:ascii="Verdana" w:hAnsi="Verdana"/>
                <w:sz w:val="18"/>
                <w:szCs w:val="18"/>
              </w:rPr>
              <w:t>), artikel 301 bis (uitoefening van bevoegdheidsdelegatie) en artikel 301 ter (uitstelbepaling voor technische reguleringsnormen).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79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artikel 304, tweede lid: opdracht aan EC om uiterlijk op 31/12/2020 bij het EP en de Raad een verslag in te dienen over de toepassing van de </w:t>
            </w:r>
            <w:r w:rsidR="003167F3" w:rsidRPr="00AD55C1">
              <w:rPr>
                <w:rFonts w:ascii="Verdana" w:hAnsi="Verdana"/>
                <w:sz w:val="18"/>
                <w:szCs w:val="18"/>
              </w:rPr>
              <w:t>Value</w:t>
            </w:r>
            <w:r w:rsidR="003167F3">
              <w:rPr>
                <w:rFonts w:ascii="Verdana" w:hAnsi="Verdana"/>
                <w:sz w:val="18"/>
                <w:szCs w:val="18"/>
              </w:rPr>
              <w:t xml:space="preserve"> </w:t>
            </w:r>
            <w:r w:rsidR="003167F3" w:rsidRPr="00AD55C1">
              <w:rPr>
                <w:rFonts w:ascii="Verdana" w:hAnsi="Verdana"/>
                <w:sz w:val="18"/>
                <w:szCs w:val="18"/>
              </w:rPr>
              <w:t>at-Risk</w:t>
            </w:r>
            <w:r w:rsidRPr="00AD55C1">
              <w:rPr>
                <w:rFonts w:ascii="Verdana" w:hAnsi="Verdana"/>
                <w:sz w:val="18"/>
                <w:szCs w:val="18"/>
              </w:rPr>
              <w:t xml:space="preserve"> formule.</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80</w:t>
            </w:r>
          </w:p>
        </w:tc>
        <w:tc>
          <w:tcPr>
            <w:tcW w:w="4253" w:type="dxa"/>
            <w:shd w:val="clear" w:color="auto" w:fill="FFFFFF"/>
          </w:tcPr>
          <w:p w:rsidR="006A2D63" w:rsidRPr="00AD55C1" w:rsidRDefault="000A7F40" w:rsidP="00AD55C1">
            <w:pPr>
              <w:spacing w:line="260" w:lineRule="exact"/>
              <w:rPr>
                <w:rFonts w:ascii="Verdana" w:hAnsi="Verdana"/>
                <w:sz w:val="18"/>
                <w:szCs w:val="18"/>
              </w:rPr>
            </w:pPr>
            <w:r w:rsidRPr="00AD55C1">
              <w:rPr>
                <w:rFonts w:ascii="Verdana" w:hAnsi="Verdana"/>
                <w:sz w:val="18"/>
                <w:szCs w:val="18"/>
              </w:rPr>
              <w:t xml:space="preserve">Artikel </w:t>
            </w:r>
            <w:r w:rsidR="006A2D63" w:rsidRPr="00AD55C1">
              <w:rPr>
                <w:rFonts w:ascii="Verdana" w:hAnsi="Verdana"/>
                <w:sz w:val="18"/>
                <w:szCs w:val="18"/>
              </w:rPr>
              <w:t>308 bis</w:t>
            </w:r>
            <w:r w:rsidR="000A7F44" w:rsidRPr="00AD55C1">
              <w:rPr>
                <w:rFonts w:ascii="Verdana" w:hAnsi="Verdana"/>
                <w:sz w:val="18"/>
                <w:szCs w:val="18"/>
              </w:rPr>
              <w:t xml:space="preserve"> en 308 ter</w:t>
            </w:r>
          </w:p>
          <w:p w:rsidR="003A4CE3" w:rsidRPr="00AD55C1" w:rsidRDefault="003A4CE3" w:rsidP="00AD55C1">
            <w:pPr>
              <w:spacing w:line="260" w:lineRule="exact"/>
              <w:rPr>
                <w:rFonts w:ascii="Verdana" w:hAnsi="Verdana"/>
                <w:sz w:val="18"/>
                <w:szCs w:val="18"/>
              </w:rPr>
            </w:pPr>
          </w:p>
          <w:p w:rsidR="003A4CE3" w:rsidRPr="00AD55C1" w:rsidRDefault="003A4CE3" w:rsidP="00AD55C1">
            <w:pPr>
              <w:spacing w:line="260" w:lineRule="exact"/>
              <w:rPr>
                <w:rFonts w:ascii="Verdana" w:hAnsi="Verdana"/>
                <w:sz w:val="18"/>
                <w:szCs w:val="18"/>
              </w:rPr>
            </w:pPr>
          </w:p>
          <w:p w:rsidR="003A4CE3" w:rsidRPr="00AD55C1" w:rsidRDefault="003A4CE3" w:rsidP="00AD55C1">
            <w:pPr>
              <w:spacing w:line="260" w:lineRule="exact"/>
              <w:rPr>
                <w:rFonts w:ascii="Verdana" w:hAnsi="Verdana"/>
                <w:sz w:val="18"/>
                <w:szCs w:val="18"/>
              </w:rPr>
            </w:pPr>
          </w:p>
          <w:p w:rsidR="003A4CE3" w:rsidRPr="00AD55C1" w:rsidRDefault="003A4CE3" w:rsidP="00AD55C1">
            <w:pPr>
              <w:spacing w:line="260" w:lineRule="exact"/>
              <w:rPr>
                <w:rFonts w:ascii="Verdana" w:hAnsi="Verdana"/>
                <w:sz w:val="18"/>
                <w:szCs w:val="18"/>
              </w:rPr>
            </w:pPr>
          </w:p>
          <w:p w:rsidR="0037028B" w:rsidRPr="00AD55C1" w:rsidRDefault="0037028B" w:rsidP="00AD55C1">
            <w:pPr>
              <w:spacing w:line="260" w:lineRule="exact"/>
              <w:rPr>
                <w:rFonts w:ascii="Verdana" w:hAnsi="Verdana"/>
                <w:sz w:val="18"/>
                <w:szCs w:val="18"/>
              </w:rPr>
            </w:pPr>
          </w:p>
          <w:p w:rsidR="0037028B" w:rsidRPr="00AD55C1" w:rsidRDefault="0037028B" w:rsidP="00AD55C1">
            <w:pPr>
              <w:spacing w:line="260" w:lineRule="exact"/>
              <w:rPr>
                <w:rFonts w:ascii="Verdana" w:hAnsi="Verdana"/>
                <w:sz w:val="18"/>
                <w:szCs w:val="18"/>
              </w:rPr>
            </w:pPr>
          </w:p>
          <w:p w:rsidR="0037028B" w:rsidRPr="00AD55C1" w:rsidRDefault="0037028B" w:rsidP="00AD55C1">
            <w:pPr>
              <w:spacing w:line="260" w:lineRule="exact"/>
              <w:rPr>
                <w:rFonts w:ascii="Verdana" w:hAnsi="Verdana"/>
                <w:sz w:val="18"/>
                <w:szCs w:val="18"/>
              </w:rPr>
            </w:pPr>
          </w:p>
          <w:p w:rsidR="0037028B" w:rsidRPr="00AD55C1" w:rsidRDefault="0037028B" w:rsidP="00AD55C1">
            <w:pPr>
              <w:spacing w:line="260" w:lineRule="exact"/>
              <w:rPr>
                <w:rFonts w:ascii="Verdana" w:hAnsi="Verdana"/>
                <w:sz w:val="18"/>
                <w:szCs w:val="18"/>
              </w:rPr>
            </w:pPr>
          </w:p>
          <w:p w:rsidR="006A2D63" w:rsidRPr="00AD55C1" w:rsidRDefault="000A7F40" w:rsidP="00AD55C1">
            <w:pPr>
              <w:spacing w:line="260" w:lineRule="exact"/>
              <w:rPr>
                <w:rFonts w:ascii="Verdana" w:hAnsi="Verdana"/>
                <w:sz w:val="18"/>
                <w:szCs w:val="18"/>
              </w:rPr>
            </w:pPr>
            <w:r w:rsidRPr="00AD55C1">
              <w:rPr>
                <w:rFonts w:ascii="Verdana" w:hAnsi="Verdana"/>
                <w:sz w:val="18"/>
                <w:szCs w:val="18"/>
              </w:rPr>
              <w:t xml:space="preserve">Artikel </w:t>
            </w:r>
            <w:r w:rsidR="006A2D63" w:rsidRPr="00AD55C1">
              <w:rPr>
                <w:rFonts w:ascii="Verdana" w:hAnsi="Verdana"/>
                <w:sz w:val="18"/>
                <w:szCs w:val="18"/>
              </w:rPr>
              <w:t>308 quater</w:t>
            </w:r>
          </w:p>
          <w:p w:rsidR="006A2D63" w:rsidRPr="00AD55C1" w:rsidRDefault="000A7F40" w:rsidP="00AD55C1">
            <w:pPr>
              <w:spacing w:line="260" w:lineRule="exact"/>
              <w:rPr>
                <w:rFonts w:ascii="Verdana" w:hAnsi="Verdana"/>
                <w:sz w:val="18"/>
                <w:szCs w:val="18"/>
              </w:rPr>
            </w:pPr>
            <w:r w:rsidRPr="00AD55C1">
              <w:rPr>
                <w:rFonts w:ascii="Verdana" w:hAnsi="Verdana"/>
                <w:sz w:val="18"/>
                <w:szCs w:val="18"/>
              </w:rPr>
              <w:t xml:space="preserve">Artikel </w:t>
            </w:r>
            <w:r w:rsidR="006A2D63" w:rsidRPr="00AD55C1">
              <w:rPr>
                <w:rFonts w:ascii="Verdana" w:hAnsi="Verdana"/>
                <w:sz w:val="18"/>
                <w:szCs w:val="18"/>
              </w:rPr>
              <w:t>308 quinquies</w:t>
            </w:r>
          </w:p>
          <w:p w:rsidR="006A2D63" w:rsidRPr="00AD55C1" w:rsidRDefault="000A7F40" w:rsidP="00AD55C1">
            <w:pPr>
              <w:spacing w:line="260" w:lineRule="exact"/>
              <w:rPr>
                <w:rFonts w:ascii="Verdana" w:hAnsi="Verdana"/>
                <w:sz w:val="18"/>
                <w:szCs w:val="18"/>
              </w:rPr>
            </w:pPr>
            <w:r w:rsidRPr="00AD55C1">
              <w:rPr>
                <w:rFonts w:ascii="Verdana" w:hAnsi="Verdana"/>
                <w:sz w:val="18"/>
                <w:szCs w:val="18"/>
              </w:rPr>
              <w:t xml:space="preserve">Artikel </w:t>
            </w:r>
            <w:r w:rsidR="006A2D63" w:rsidRPr="00AD55C1">
              <w:rPr>
                <w:rFonts w:ascii="Verdana" w:hAnsi="Verdana"/>
                <w:sz w:val="18"/>
                <w:szCs w:val="18"/>
              </w:rPr>
              <w:t>308 sexies</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Artikelen III en IV</w:t>
            </w:r>
            <w:r w:rsidR="000A7F44" w:rsidRPr="00AD55C1">
              <w:rPr>
                <w:rFonts w:ascii="Verdana" w:hAnsi="Verdana"/>
                <w:sz w:val="18"/>
                <w:szCs w:val="18"/>
              </w:rPr>
              <w:t>, Bpr</w:t>
            </w:r>
            <w:r w:rsidR="003A4CE3" w:rsidRPr="00AD55C1">
              <w:rPr>
                <w:rFonts w:ascii="Verdana" w:hAnsi="Verdana"/>
                <w:sz w:val="18"/>
                <w:szCs w:val="18"/>
              </w:rPr>
              <w:t xml:space="preserve"> en Regeling ex artikel 1:69, derde lid, Wft</w:t>
            </w:r>
            <w:r w:rsidR="00170F0A" w:rsidRPr="00AD55C1">
              <w:rPr>
                <w:rFonts w:ascii="Verdana" w:hAnsi="Verdana"/>
                <w:sz w:val="18"/>
                <w:szCs w:val="18"/>
              </w:rPr>
              <w:t>.</w:t>
            </w:r>
          </w:p>
          <w:p w:rsidR="006A2D63" w:rsidRPr="00AD55C1" w:rsidRDefault="006A2D63" w:rsidP="00AD55C1">
            <w:pPr>
              <w:spacing w:line="260" w:lineRule="exact"/>
              <w:rPr>
                <w:rFonts w:ascii="Verdana" w:hAnsi="Verdana"/>
                <w:sz w:val="18"/>
                <w:szCs w:val="18"/>
              </w:rPr>
            </w:pPr>
            <w:r w:rsidRPr="00AD55C1">
              <w:rPr>
                <w:rFonts w:ascii="Verdana" w:hAnsi="Verdana"/>
                <w:sz w:val="18"/>
                <w:szCs w:val="18"/>
              </w:rPr>
              <w:t>Bpr</w:t>
            </w:r>
            <w:r w:rsidR="00170F0A" w:rsidRPr="00AD55C1">
              <w:rPr>
                <w:rFonts w:ascii="Verdana" w:hAnsi="Verdana"/>
                <w:sz w:val="18"/>
                <w:szCs w:val="18"/>
              </w:rPr>
              <w:t>.</w:t>
            </w:r>
          </w:p>
          <w:p w:rsidR="0037028B" w:rsidRPr="00AD55C1" w:rsidRDefault="00D765DC" w:rsidP="00AD55C1">
            <w:pPr>
              <w:spacing w:line="260" w:lineRule="exact"/>
              <w:rPr>
                <w:rFonts w:ascii="Verdana" w:hAnsi="Verdana"/>
                <w:sz w:val="18"/>
                <w:szCs w:val="18"/>
              </w:rPr>
            </w:pPr>
            <w:r w:rsidRPr="00AD55C1">
              <w:rPr>
                <w:rFonts w:ascii="Verdana" w:hAnsi="Verdana"/>
                <w:sz w:val="18"/>
                <w:szCs w:val="18"/>
              </w:rPr>
              <w:t>Regeling ex artikel 1:69, derde lid, Wft</w:t>
            </w:r>
            <w:r w:rsidR="00170F0A" w:rsidRPr="00AD55C1">
              <w:rPr>
                <w:rFonts w:ascii="Verdana" w:hAnsi="Verdana"/>
                <w:sz w:val="18"/>
                <w:szCs w:val="18"/>
              </w:rPr>
              <w:t>.</w:t>
            </w:r>
            <w:r w:rsidRPr="00AD55C1">
              <w:rPr>
                <w:rFonts w:ascii="Verdana" w:hAnsi="Verdana"/>
                <w:sz w:val="18"/>
                <w:szCs w:val="18"/>
              </w:rPr>
              <w:t xml:space="preserve"> </w:t>
            </w:r>
          </w:p>
          <w:p w:rsidR="006A2D63" w:rsidRPr="00AD55C1" w:rsidRDefault="0037028B" w:rsidP="00AD55C1">
            <w:pPr>
              <w:spacing w:line="260" w:lineRule="exact"/>
              <w:rPr>
                <w:rFonts w:ascii="Verdana" w:hAnsi="Verdana"/>
                <w:sz w:val="18"/>
                <w:szCs w:val="18"/>
              </w:rPr>
            </w:pPr>
            <w:r w:rsidRPr="00AD55C1">
              <w:rPr>
                <w:rFonts w:ascii="Verdana" w:hAnsi="Verdana"/>
                <w:sz w:val="18"/>
                <w:szCs w:val="18"/>
              </w:rPr>
              <w:t xml:space="preserve">Gi (of </w:t>
            </w:r>
            <w:r w:rsidR="00892BAE" w:rsidRPr="00AD55C1">
              <w:rPr>
                <w:rFonts w:ascii="Verdana" w:hAnsi="Verdana"/>
                <w:sz w:val="18"/>
                <w:szCs w:val="18"/>
              </w:rPr>
              <w:t xml:space="preserve">indien </w:t>
            </w:r>
            <w:r w:rsidRPr="00AD55C1">
              <w:rPr>
                <w:rFonts w:ascii="Verdana" w:hAnsi="Verdana"/>
                <w:sz w:val="18"/>
                <w:szCs w:val="18"/>
              </w:rPr>
              <w:t xml:space="preserve">nodig in het </w:t>
            </w:r>
            <w:r w:rsidR="006A2D63" w:rsidRPr="00AD55C1">
              <w:rPr>
                <w:rFonts w:ascii="Verdana" w:hAnsi="Verdana"/>
                <w:sz w:val="18"/>
                <w:szCs w:val="18"/>
              </w:rPr>
              <w:t xml:space="preserve">Besluit </w:t>
            </w:r>
            <w:r w:rsidR="00892BAE" w:rsidRPr="00AD55C1">
              <w:rPr>
                <w:rFonts w:ascii="Verdana" w:hAnsi="Verdana"/>
                <w:sz w:val="18"/>
                <w:szCs w:val="18"/>
              </w:rPr>
              <w:t>prudentiële</w:t>
            </w:r>
            <w:r w:rsidR="006A2D63" w:rsidRPr="00AD55C1">
              <w:rPr>
                <w:rFonts w:ascii="Verdana" w:hAnsi="Verdana"/>
                <w:sz w:val="18"/>
                <w:szCs w:val="18"/>
              </w:rPr>
              <w:t xml:space="preserve"> </w:t>
            </w:r>
            <w:r w:rsidR="00892BAE" w:rsidRPr="00AD55C1">
              <w:rPr>
                <w:rFonts w:ascii="Verdana" w:hAnsi="Verdana"/>
                <w:sz w:val="18"/>
                <w:szCs w:val="18"/>
              </w:rPr>
              <w:t xml:space="preserve">regels </w:t>
            </w:r>
            <w:r w:rsidR="006A2D63" w:rsidRPr="00AD55C1">
              <w:rPr>
                <w:rFonts w:ascii="Verdana" w:hAnsi="Verdana"/>
                <w:sz w:val="18"/>
                <w:szCs w:val="18"/>
              </w:rPr>
              <w:t>Wft.</w:t>
            </w:r>
          </w:p>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81</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309; inwerkingtreding van de bepalingen is aangepast.</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V</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82</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Invoeging van artikel 310 bis (Personeel en middelen EIOPA). EIOPA moet een raming maken en hierover verslag uitbrengen aan EP, Raad en EC.</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artikel 311; inwerkingtreding van de artikelen.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Bijlage III, deel A; de Europese Coöperatieve vennootschap wordt toegevoegd. </w:t>
            </w:r>
          </w:p>
        </w:tc>
        <w:tc>
          <w:tcPr>
            <w:tcW w:w="1843" w:type="dxa"/>
            <w:shd w:val="clear" w:color="auto" w:fill="FFFFFF"/>
          </w:tcPr>
          <w:p w:rsidR="006A2D63" w:rsidRPr="00AD55C1" w:rsidRDefault="00170F0A" w:rsidP="00AD55C1">
            <w:pPr>
              <w:spacing w:line="260" w:lineRule="exact"/>
              <w:rPr>
                <w:rFonts w:ascii="Verdana" w:hAnsi="Verdana"/>
                <w:sz w:val="18"/>
                <w:szCs w:val="18"/>
              </w:rPr>
            </w:pPr>
            <w:r w:rsidRPr="00AD55C1">
              <w:rPr>
                <w:rFonts w:ascii="Verdana" w:hAnsi="Verdana"/>
                <w:sz w:val="18"/>
                <w:szCs w:val="18"/>
              </w:rPr>
              <w:t>G</w:t>
            </w:r>
            <w:r w:rsidR="006A2D63" w:rsidRPr="00AD55C1">
              <w:rPr>
                <w:rFonts w:ascii="Verdana" w:hAnsi="Verdana"/>
                <w:sz w:val="18"/>
                <w:szCs w:val="18"/>
              </w:rPr>
              <w:t>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Bijlage III, deel B; de Europese Coöperatieve vennootschap wordt toegevoegd.</w:t>
            </w:r>
          </w:p>
        </w:tc>
        <w:tc>
          <w:tcPr>
            <w:tcW w:w="1843" w:type="dxa"/>
            <w:shd w:val="clear" w:color="auto" w:fill="FFFFFF"/>
          </w:tcPr>
          <w:p w:rsidR="006A2D63" w:rsidRPr="00AD55C1" w:rsidRDefault="00170F0A" w:rsidP="00AD55C1">
            <w:pPr>
              <w:spacing w:line="260" w:lineRule="exact"/>
              <w:rPr>
                <w:rFonts w:ascii="Verdana" w:hAnsi="Verdana"/>
                <w:sz w:val="18"/>
                <w:szCs w:val="18"/>
              </w:rPr>
            </w:pPr>
            <w:r w:rsidRPr="00AD55C1">
              <w:rPr>
                <w:rFonts w:ascii="Verdana" w:hAnsi="Verdana"/>
                <w:sz w:val="18"/>
                <w:szCs w:val="18"/>
              </w:rPr>
              <w:t>G</w:t>
            </w:r>
            <w:r w:rsidR="006A2D63" w:rsidRPr="00AD55C1">
              <w:rPr>
                <w:rFonts w:ascii="Verdana" w:hAnsi="Verdana"/>
                <w:sz w:val="18"/>
                <w:szCs w:val="18"/>
              </w:rPr>
              <w:t>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Wijziging van Bijlage III, deel C; de Europese Coöperatieve vennootschap wordt toegevoegd. </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87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 van de concordantietabel.</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3</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Wijzigingen Verordening (EG) nr. 1060/2009</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lastRenderedPageBreak/>
              <w:t>Artikel 4</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Wijzigingen Verordening (EG) nr. 1094/2010</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5</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Wijzigingen Verordening (EG) nr. 1095/2010</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6</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Herziening</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7</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Omzetting</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 xml:space="preserve">Artikel </w:t>
            </w:r>
            <w:r w:rsidR="00B45CDA" w:rsidRPr="00AD55C1">
              <w:rPr>
                <w:rFonts w:ascii="Verdana" w:hAnsi="Verdana"/>
                <w:sz w:val="18"/>
                <w:szCs w:val="18"/>
              </w:rPr>
              <w:t xml:space="preserve">V </w:t>
            </w:r>
            <w:r w:rsidR="00170F0A" w:rsidRPr="00AD55C1">
              <w:rPr>
                <w:rFonts w:ascii="Verdana" w:hAnsi="Verdana"/>
                <w:sz w:val="18"/>
                <w:szCs w:val="18"/>
              </w:rPr>
              <w:t>Inwerkingtre-dingsbesluit</w:t>
            </w:r>
            <w:r w:rsidRPr="00AD55C1">
              <w:rPr>
                <w:rFonts w:ascii="Verdana" w:hAnsi="Verdana"/>
                <w:sz w:val="18"/>
                <w:szCs w:val="18"/>
              </w:rPr>
              <w:t xml:space="preserve"> </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8</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Inwerkingtreding</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5B0049" w:rsidRPr="00AD55C1" w:rsidTr="004E7502">
        <w:tc>
          <w:tcPr>
            <w:tcW w:w="1242" w:type="dxa"/>
            <w:shd w:val="clear" w:color="auto" w:fill="FFFFFF"/>
          </w:tcPr>
          <w:p w:rsidR="005B0049" w:rsidRPr="00AD55C1" w:rsidRDefault="005B0049" w:rsidP="00AD55C1">
            <w:pPr>
              <w:spacing w:line="260" w:lineRule="exact"/>
              <w:rPr>
                <w:rFonts w:ascii="Verdana" w:hAnsi="Verdana"/>
                <w:sz w:val="18"/>
                <w:szCs w:val="18"/>
              </w:rPr>
            </w:pPr>
          </w:p>
        </w:tc>
        <w:tc>
          <w:tcPr>
            <w:tcW w:w="4253" w:type="dxa"/>
            <w:shd w:val="clear" w:color="auto" w:fill="FFFFFF"/>
          </w:tcPr>
          <w:p w:rsidR="005B0049" w:rsidRPr="00AD55C1" w:rsidRDefault="005B0049" w:rsidP="00AD55C1">
            <w:pPr>
              <w:spacing w:line="260" w:lineRule="exact"/>
              <w:rPr>
                <w:rFonts w:ascii="Verdana" w:hAnsi="Verdana"/>
                <w:sz w:val="18"/>
                <w:szCs w:val="18"/>
              </w:rPr>
            </w:pPr>
          </w:p>
        </w:tc>
        <w:tc>
          <w:tcPr>
            <w:tcW w:w="1843" w:type="dxa"/>
            <w:shd w:val="clear" w:color="auto" w:fill="FFFFFF"/>
          </w:tcPr>
          <w:p w:rsidR="005B0049" w:rsidRPr="00AD55C1" w:rsidRDefault="005B0049"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Artikel 9</w:t>
            </w:r>
          </w:p>
        </w:tc>
        <w:tc>
          <w:tcPr>
            <w:tcW w:w="425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Adressaten</w:t>
            </w:r>
          </w:p>
        </w:tc>
        <w:tc>
          <w:tcPr>
            <w:tcW w:w="1843" w:type="dxa"/>
            <w:shd w:val="clear" w:color="auto" w:fill="FFFFFF"/>
          </w:tcPr>
          <w:p w:rsidR="006A2D63" w:rsidRPr="00AD55C1" w:rsidRDefault="006A2D63" w:rsidP="00AD55C1">
            <w:pPr>
              <w:spacing w:line="260" w:lineRule="exact"/>
              <w:rPr>
                <w:rFonts w:ascii="Verdana" w:hAnsi="Verdana"/>
                <w:sz w:val="18"/>
                <w:szCs w:val="18"/>
              </w:rPr>
            </w:pPr>
            <w:r w:rsidRPr="00AD55C1">
              <w:rPr>
                <w:rFonts w:ascii="Verdana" w:hAnsi="Verdana"/>
                <w:sz w:val="18"/>
                <w:szCs w:val="18"/>
              </w:rPr>
              <w:t>Gi</w:t>
            </w: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6A2D63" w:rsidP="00AD55C1">
            <w:pPr>
              <w:spacing w:line="260" w:lineRule="exact"/>
              <w:rPr>
                <w:rFonts w:ascii="Verdana" w:hAnsi="Verdana"/>
                <w:sz w:val="18"/>
                <w:szCs w:val="18"/>
              </w:rPr>
            </w:pPr>
          </w:p>
        </w:tc>
        <w:tc>
          <w:tcPr>
            <w:tcW w:w="1843" w:type="dxa"/>
            <w:shd w:val="clear" w:color="auto" w:fill="FFFFFF"/>
          </w:tcPr>
          <w:p w:rsidR="006A2D63" w:rsidRPr="00AD55C1" w:rsidRDefault="006A2D63" w:rsidP="00AD55C1">
            <w:pPr>
              <w:spacing w:line="260" w:lineRule="exact"/>
              <w:rPr>
                <w:rFonts w:ascii="Verdana" w:hAnsi="Verdana"/>
                <w:sz w:val="18"/>
                <w:szCs w:val="18"/>
              </w:rPr>
            </w:pPr>
          </w:p>
        </w:tc>
      </w:tr>
      <w:tr w:rsidR="006A2D63" w:rsidRPr="00AD55C1" w:rsidTr="004E7502">
        <w:tc>
          <w:tcPr>
            <w:tcW w:w="1242" w:type="dxa"/>
            <w:shd w:val="clear" w:color="auto" w:fill="FFFFFF"/>
          </w:tcPr>
          <w:p w:rsidR="006A2D63" w:rsidRPr="00AD55C1" w:rsidRDefault="006A2D63" w:rsidP="00AD55C1">
            <w:pPr>
              <w:spacing w:line="260" w:lineRule="exact"/>
              <w:rPr>
                <w:rFonts w:ascii="Verdana" w:hAnsi="Verdana"/>
                <w:sz w:val="18"/>
                <w:szCs w:val="18"/>
              </w:rPr>
            </w:pPr>
          </w:p>
        </w:tc>
        <w:tc>
          <w:tcPr>
            <w:tcW w:w="4253" w:type="dxa"/>
            <w:shd w:val="clear" w:color="auto" w:fill="FFFFFF"/>
          </w:tcPr>
          <w:p w:rsidR="006A2D63" w:rsidRPr="00AD55C1" w:rsidRDefault="006A2D63" w:rsidP="00AD55C1">
            <w:pPr>
              <w:spacing w:line="260" w:lineRule="exact"/>
              <w:rPr>
                <w:rFonts w:ascii="Verdana" w:hAnsi="Verdana"/>
                <w:sz w:val="18"/>
                <w:szCs w:val="18"/>
              </w:rPr>
            </w:pPr>
          </w:p>
        </w:tc>
        <w:tc>
          <w:tcPr>
            <w:tcW w:w="1843" w:type="dxa"/>
            <w:shd w:val="clear" w:color="auto" w:fill="FFFFFF"/>
          </w:tcPr>
          <w:p w:rsidR="006A2D63" w:rsidRPr="00AD55C1" w:rsidRDefault="006A2D63" w:rsidP="00AD55C1">
            <w:pPr>
              <w:spacing w:line="260" w:lineRule="exact"/>
              <w:rPr>
                <w:rFonts w:ascii="Verdana" w:hAnsi="Verdana"/>
                <w:sz w:val="18"/>
                <w:szCs w:val="18"/>
              </w:rPr>
            </w:pPr>
          </w:p>
        </w:tc>
      </w:tr>
    </w:tbl>
    <w:p w:rsidR="006A2D63" w:rsidRPr="00AD55C1" w:rsidRDefault="006A2D63" w:rsidP="00AD55C1">
      <w:pPr>
        <w:spacing w:line="260" w:lineRule="exact"/>
        <w:rPr>
          <w:rFonts w:ascii="Verdana" w:hAnsi="Verdana"/>
          <w:sz w:val="18"/>
          <w:szCs w:val="18"/>
        </w:rPr>
      </w:pPr>
    </w:p>
    <w:p w:rsidR="00D50CE9" w:rsidRPr="00AD55C1" w:rsidRDefault="00D50CE9" w:rsidP="00AD55C1">
      <w:pPr>
        <w:spacing w:line="260" w:lineRule="exact"/>
        <w:rPr>
          <w:rFonts w:ascii="Verdana" w:hAnsi="Verdana"/>
          <w:sz w:val="18"/>
          <w:szCs w:val="18"/>
        </w:rPr>
      </w:pPr>
    </w:p>
    <w:sectPr w:rsidR="00D50CE9" w:rsidRPr="00AD55C1" w:rsidSect="005E7F16">
      <w:footerReference w:type="default" r:id="rId12"/>
      <w:pgSz w:w="11906" w:h="16838"/>
      <w:pgMar w:top="1418" w:right="1418" w:bottom="1418" w:left="32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28" w:rsidRDefault="00407F28" w:rsidP="00116C86">
      <w:r>
        <w:separator/>
      </w:r>
    </w:p>
  </w:endnote>
  <w:endnote w:type="continuationSeparator" w:id="0">
    <w:p w:rsidR="00407F28" w:rsidRDefault="00407F28" w:rsidP="00116C86">
      <w:r>
        <w:continuationSeparator/>
      </w:r>
    </w:p>
  </w:endnote>
  <w:endnote w:type="continuationNotice" w:id="1">
    <w:p w:rsidR="00407F28" w:rsidRDefault="00407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DGAG K+ Univer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Bold">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IFGH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C1" w:rsidRPr="0017169E" w:rsidRDefault="00636AC1">
    <w:pPr>
      <w:pStyle w:val="Voettekst"/>
      <w:jc w:val="center"/>
      <w:rPr>
        <w:rFonts w:ascii="Verdana" w:hAnsi="Verdana"/>
        <w:sz w:val="18"/>
        <w:szCs w:val="18"/>
      </w:rPr>
    </w:pPr>
    <w:r w:rsidRPr="0017169E">
      <w:rPr>
        <w:rFonts w:ascii="Verdana" w:hAnsi="Verdana"/>
        <w:sz w:val="18"/>
        <w:szCs w:val="18"/>
      </w:rPr>
      <w:fldChar w:fldCharType="begin"/>
    </w:r>
    <w:r w:rsidRPr="0017169E">
      <w:rPr>
        <w:rFonts w:ascii="Verdana" w:hAnsi="Verdana"/>
        <w:sz w:val="18"/>
        <w:szCs w:val="18"/>
      </w:rPr>
      <w:instrText xml:space="preserve"> PAGE   \* MERGEFORMAT </w:instrText>
    </w:r>
    <w:r w:rsidRPr="0017169E">
      <w:rPr>
        <w:rFonts w:ascii="Verdana" w:hAnsi="Verdana"/>
        <w:sz w:val="18"/>
        <w:szCs w:val="18"/>
      </w:rPr>
      <w:fldChar w:fldCharType="separate"/>
    </w:r>
    <w:r w:rsidR="001106B4">
      <w:rPr>
        <w:rFonts w:ascii="Verdana" w:hAnsi="Verdana"/>
        <w:noProof/>
        <w:sz w:val="18"/>
        <w:szCs w:val="18"/>
      </w:rPr>
      <w:t>2</w:t>
    </w:r>
    <w:r w:rsidRPr="0017169E">
      <w:rPr>
        <w:rFonts w:ascii="Verdana" w:hAnsi="Verdana"/>
        <w:sz w:val="18"/>
        <w:szCs w:val="18"/>
      </w:rPr>
      <w:fldChar w:fldCharType="end"/>
    </w:r>
  </w:p>
  <w:p w:rsidR="00636AC1" w:rsidRDefault="00636A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28" w:rsidRDefault="00407F28" w:rsidP="00116C86">
      <w:r>
        <w:separator/>
      </w:r>
    </w:p>
  </w:footnote>
  <w:footnote w:type="continuationSeparator" w:id="0">
    <w:p w:rsidR="00407F28" w:rsidRDefault="00407F28" w:rsidP="00116C86">
      <w:r>
        <w:continuationSeparator/>
      </w:r>
    </w:p>
  </w:footnote>
  <w:footnote w:type="continuationNotice" w:id="1">
    <w:p w:rsidR="00407F28" w:rsidRDefault="00407F28"/>
  </w:footnote>
  <w:footnote w:id="2">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Richtlijn 2014/51/EU van</w:t>
      </w:r>
      <w:r w:rsidRPr="002C30AA">
        <w:rPr>
          <w:rFonts w:ascii="Verdana" w:hAnsi="Verdana" w:cs="Verdana"/>
          <w:b/>
          <w:sz w:val="16"/>
          <w:szCs w:val="16"/>
        </w:rPr>
        <w:t xml:space="preserve"> </w:t>
      </w:r>
      <w:r w:rsidRPr="002C30AA">
        <w:rPr>
          <w:rFonts w:ascii="Verdana" w:hAnsi="Verdana" w:cs="Verdana"/>
          <w:sz w:val="16"/>
          <w:szCs w:val="16"/>
        </w:rPr>
        <w:t>het Europees Parlement en de Raad van 16 april 2014 tot wijziging van de Richtlijnen</w:t>
      </w:r>
      <w:r w:rsidRPr="002C30AA">
        <w:rPr>
          <w:rFonts w:ascii="Verdana" w:hAnsi="Verdana" w:cs="Verdana"/>
          <w:bCs/>
          <w:sz w:val="16"/>
          <w:szCs w:val="16"/>
        </w:rPr>
        <w:t xml:space="preserve"> 2003/71/EU en 2009/138/EG, alsmede de Verordeningen (EG) nr. 1060/2009, (EU) nr. 1094/2010 en (EU) nr. 1095/2010 wat de bevoegdheden van de Europese toezichthoudende autoriteit (Europese Autoriteit voor verzekeringen en bedrijfspensioenen) en de Europese toezichthoudende autoriteit (Europese Autoriteit voor effecten en markten) betreft </w:t>
      </w:r>
      <w:r w:rsidRPr="002C30AA">
        <w:rPr>
          <w:rFonts w:ascii="Verdana" w:hAnsi="Verdana" w:cs="Verdana"/>
          <w:sz w:val="16"/>
          <w:szCs w:val="16"/>
        </w:rPr>
        <w:t>(PbEU 2014, L 153)</w:t>
      </w:r>
      <w:r w:rsidRPr="002C30AA" w:rsidDel="00987856">
        <w:rPr>
          <w:rFonts w:ascii="Verdana" w:hAnsi="Verdana" w:cs="Verdana"/>
          <w:bCs/>
          <w:sz w:val="16"/>
          <w:szCs w:val="16"/>
        </w:rPr>
        <w:t xml:space="preserve"> </w:t>
      </w:r>
      <w:r w:rsidRPr="002C30AA">
        <w:rPr>
          <w:rFonts w:ascii="Verdana" w:hAnsi="Verdana" w:cs="Verdana"/>
          <w:bCs/>
          <w:sz w:val="16"/>
          <w:szCs w:val="16"/>
        </w:rPr>
        <w:t>(Wet implementatie Omnibus II-richtlijn).</w:t>
      </w:r>
    </w:p>
  </w:footnote>
  <w:footnote w:id="3">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Richtlijn 2009/138/EG van het Europees Parlement en de Raad van 25 november 2009 betreffende de toegang tot en uitoefening van het verzekerings- en het herverzekeringsbedrijf (Solvabiliteit II) </w:t>
      </w:r>
      <w:r>
        <w:rPr>
          <w:rFonts w:ascii="Verdana" w:hAnsi="Verdana"/>
          <w:sz w:val="16"/>
          <w:szCs w:val="16"/>
        </w:rPr>
        <w:t>(</w:t>
      </w:r>
      <w:r w:rsidRPr="002C30AA">
        <w:rPr>
          <w:rFonts w:ascii="Verdana" w:hAnsi="Verdana"/>
          <w:sz w:val="16"/>
          <w:szCs w:val="16"/>
        </w:rPr>
        <w:t>PB 2009, L 335</w:t>
      </w:r>
      <w:r>
        <w:rPr>
          <w:rFonts w:ascii="Verdana" w:hAnsi="Verdana"/>
          <w:sz w:val="16"/>
          <w:szCs w:val="16"/>
        </w:rPr>
        <w:t>)</w:t>
      </w:r>
      <w:r w:rsidRPr="002C30AA">
        <w:rPr>
          <w:rFonts w:ascii="Verdana" w:hAnsi="Verdana"/>
          <w:sz w:val="16"/>
          <w:szCs w:val="16"/>
        </w:rPr>
        <w:t>.</w:t>
      </w:r>
    </w:p>
  </w:footnote>
  <w:footnote w:id="4">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w:t>
      </w:r>
      <w:r w:rsidRPr="002C30AA">
        <w:rPr>
          <w:rStyle w:val="Voetnootmarkering"/>
          <w:rFonts w:ascii="Verdana" w:hAnsi="Verdana"/>
          <w:sz w:val="16"/>
          <w:szCs w:val="16"/>
          <w:vertAlign w:val="baseline"/>
        </w:rPr>
        <w:t>Richtlijn 2003/71/EG van het Europees Parlement en de Raad van 4 november 2003</w:t>
      </w:r>
      <w:r w:rsidRPr="002C30AA">
        <w:rPr>
          <w:rFonts w:ascii="Verdana" w:hAnsi="Verdana"/>
          <w:sz w:val="16"/>
          <w:szCs w:val="16"/>
        </w:rPr>
        <w:t xml:space="preserve"> </w:t>
      </w:r>
      <w:r w:rsidRPr="002C30AA">
        <w:rPr>
          <w:rStyle w:val="Voetnootmarkering"/>
          <w:rFonts w:ascii="Verdana" w:hAnsi="Verdana"/>
          <w:sz w:val="16"/>
          <w:szCs w:val="16"/>
          <w:vertAlign w:val="baseline"/>
        </w:rPr>
        <w:t>betreffende het prospectus dat gepubliceerd moet worden wanneer effecten aan het publiek worden aangeboden of tot de handel worden</w:t>
      </w:r>
      <w:r w:rsidRPr="002C30AA">
        <w:rPr>
          <w:rStyle w:val="Voetnootmarkering"/>
          <w:rFonts w:ascii="Verdana" w:hAnsi="Verdana"/>
          <w:sz w:val="16"/>
          <w:szCs w:val="16"/>
        </w:rPr>
        <w:t xml:space="preserve"> </w:t>
      </w:r>
      <w:r w:rsidRPr="002C30AA">
        <w:rPr>
          <w:rStyle w:val="Voetnootmarkering"/>
          <w:rFonts w:ascii="Verdana" w:hAnsi="Verdana"/>
          <w:sz w:val="16"/>
          <w:szCs w:val="16"/>
          <w:vertAlign w:val="baseline"/>
        </w:rPr>
        <w:t>toegelaten en tot wijziging van Richtlijn 2001/34/EG (PbEG 2003, L 345).</w:t>
      </w:r>
    </w:p>
  </w:footnote>
  <w:footnote w:id="5">
    <w:p w:rsidR="00636AC1" w:rsidRPr="002C30AA" w:rsidRDefault="00636AC1" w:rsidP="002C30AA">
      <w:pPr>
        <w:pStyle w:val="Voetnoottekst"/>
        <w:rPr>
          <w:rFonts w:ascii="Verdana" w:hAnsi="Verdana"/>
          <w:sz w:val="16"/>
          <w:szCs w:val="16"/>
          <w:lang w:val="en-US"/>
        </w:rPr>
      </w:pPr>
      <w:r w:rsidRPr="002C30AA">
        <w:rPr>
          <w:rStyle w:val="Voetnootmarkering"/>
          <w:rFonts w:ascii="Verdana" w:hAnsi="Verdana"/>
          <w:sz w:val="16"/>
          <w:szCs w:val="16"/>
        </w:rPr>
        <w:footnoteRef/>
      </w:r>
      <w:r w:rsidRPr="002C30AA">
        <w:rPr>
          <w:rFonts w:ascii="Verdana" w:hAnsi="Verdana"/>
          <w:sz w:val="16"/>
          <w:szCs w:val="16"/>
          <w:lang w:val="en-US"/>
        </w:rPr>
        <w:t xml:space="preserve"> European Insurance and Occupational Pensions Authority.</w:t>
      </w:r>
    </w:p>
  </w:footnote>
  <w:footnote w:id="6">
    <w:p w:rsidR="00636AC1" w:rsidRPr="002C30AA" w:rsidRDefault="00636AC1" w:rsidP="002C30AA">
      <w:pPr>
        <w:pStyle w:val="Voetnoottekst"/>
        <w:rPr>
          <w:rFonts w:ascii="Verdana" w:hAnsi="Verdana"/>
          <w:sz w:val="16"/>
          <w:szCs w:val="16"/>
          <w:lang w:val="en-US"/>
        </w:rPr>
      </w:pPr>
      <w:r w:rsidRPr="002C30AA">
        <w:rPr>
          <w:rStyle w:val="Voetnootmarkering"/>
          <w:rFonts w:ascii="Verdana" w:hAnsi="Verdana"/>
          <w:sz w:val="16"/>
          <w:szCs w:val="16"/>
        </w:rPr>
        <w:footnoteRef/>
      </w:r>
      <w:r w:rsidRPr="002C30AA">
        <w:rPr>
          <w:rFonts w:ascii="Verdana" w:hAnsi="Verdana"/>
          <w:sz w:val="16"/>
          <w:szCs w:val="16"/>
          <w:lang w:val="en-US"/>
        </w:rPr>
        <w:t xml:space="preserve"> European Securities and Markets Authority.</w:t>
      </w:r>
    </w:p>
  </w:footnote>
  <w:footnote w:id="7">
    <w:p w:rsidR="00636AC1" w:rsidRPr="002C30AA" w:rsidRDefault="00636AC1" w:rsidP="002C30AA">
      <w:pPr>
        <w:autoSpaceDE w:val="0"/>
        <w:autoSpaceDN w:val="0"/>
        <w:adjustRightInd w:val="0"/>
        <w:rPr>
          <w:rFonts w:ascii="Verdana" w:hAnsi="Verdana" w:cs="EUAlbertina-Bold"/>
          <w:bCs/>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w:t>
      </w:r>
      <w:r w:rsidRPr="002C30AA">
        <w:rPr>
          <w:rFonts w:ascii="Verdana" w:hAnsi="Verdana" w:cs="EUAlbertina-Bold"/>
          <w:bCs/>
          <w:sz w:val="16"/>
          <w:szCs w:val="16"/>
        </w:rPr>
        <w:t>Richtlijn 2003/71/EG van het Europees Parlement en de Raad van 4 november 2003</w:t>
      </w:r>
    </w:p>
    <w:p w:rsidR="00636AC1" w:rsidRPr="002C30AA" w:rsidRDefault="00636AC1" w:rsidP="002C30AA">
      <w:pPr>
        <w:autoSpaceDE w:val="0"/>
        <w:autoSpaceDN w:val="0"/>
        <w:adjustRightInd w:val="0"/>
        <w:rPr>
          <w:rFonts w:ascii="Verdana" w:hAnsi="Verdana"/>
          <w:sz w:val="16"/>
          <w:szCs w:val="16"/>
        </w:rPr>
      </w:pPr>
      <w:r w:rsidRPr="002C30AA">
        <w:rPr>
          <w:rFonts w:ascii="Verdana" w:hAnsi="Verdana" w:cs="EUAlbertina-Bold"/>
          <w:bCs/>
          <w:sz w:val="16"/>
          <w:szCs w:val="16"/>
        </w:rPr>
        <w:t>betreffende het prospectus dat gepubliceerd moet worden wanneer effecten aan het publiek worden aangeboden of tot de handel worden toegelaten en tot wijziging van Richtlijn 2001/34/EG, Pb L 345 (Prospectusrichtlijn).</w:t>
      </w:r>
    </w:p>
  </w:footnote>
  <w:footnote w:id="8">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w:t>
      </w:r>
      <w:r w:rsidRPr="002C30AA">
        <w:rPr>
          <w:rStyle w:val="Zwaar"/>
          <w:rFonts w:ascii="Verdana" w:hAnsi="Verdana" w:cs="Lucida Sans Unicode"/>
          <w:b w:val="0"/>
          <w:sz w:val="16"/>
          <w:szCs w:val="16"/>
        </w:rPr>
        <w:t>Verdrag van Lissabon tot wijziging van het Verdrag betreffende de Europese Unie en het Verdrag tot oprichting van de Europese Gemeenschap, ondertekend te Lissabon, 13 december 2007, Pb C306 van 17 december 2007</w:t>
      </w:r>
      <w:r w:rsidRPr="002C30AA">
        <w:rPr>
          <w:rFonts w:ascii="Verdana" w:hAnsi="Verdana"/>
          <w:sz w:val="16"/>
          <w:szCs w:val="16"/>
        </w:rPr>
        <w:t>.</w:t>
      </w:r>
    </w:p>
  </w:footnote>
  <w:footnote w:id="9">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Verordening (EU) nr. 1094/2010 van het Europees Parlement en de Raad van 24 november 2010 tot oprichting van een Europese toezichthoudende autoriteit (Europese Autoriteit voor verzekeringen en bedrijfspensioenen), tot wijziging van Besluit nr. 716/2009/EG en tot intrekking van Besluit 2009/79/EG van de Commissie (PbEU 2010, L 331) en Verordening (EU) nr. 1095/2010 van het Europees Parlement en de Raad van 24 november 2010 tot oprichting van een Europese toezichthoudende autoriteit (Europese Autoriteit voor effecten en markten), tot wijziging van Besluit nr. 716/2009/EG en tot intrekking van Besluit 2009/77/EG van de Commissie (PbEU 2010, L 331).</w:t>
      </w:r>
    </w:p>
  </w:footnote>
  <w:footnote w:id="10">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Kamerstukken II 2011-2012, 33021, nr. 3, p.</w:t>
      </w:r>
      <w:r>
        <w:rPr>
          <w:rFonts w:ascii="Verdana" w:hAnsi="Verdana"/>
          <w:sz w:val="16"/>
          <w:szCs w:val="16"/>
        </w:rPr>
        <w:t xml:space="preserve"> </w:t>
      </w:r>
      <w:r w:rsidRPr="002C30AA">
        <w:rPr>
          <w:rFonts w:ascii="Verdana" w:hAnsi="Verdana"/>
          <w:sz w:val="16"/>
          <w:szCs w:val="16"/>
        </w:rPr>
        <w:t>2 en verder.</w:t>
      </w:r>
    </w:p>
  </w:footnote>
  <w:footnote w:id="11">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Kamerstukken II, 2011-2012, 33 273, nr. 3, p. 65.</w:t>
      </w:r>
    </w:p>
  </w:footnote>
  <w:footnote w:id="12">
    <w:p w:rsidR="00636AC1" w:rsidRPr="003253B4" w:rsidRDefault="00636AC1" w:rsidP="003253B4">
      <w:pPr>
        <w:rPr>
          <w:rFonts w:ascii="Verdana" w:hAnsi="Verdana"/>
          <w:b/>
          <w:sz w:val="16"/>
          <w:szCs w:val="16"/>
        </w:rPr>
      </w:pPr>
      <w:r w:rsidRPr="003253B4">
        <w:rPr>
          <w:rStyle w:val="Voetnootmarkering"/>
          <w:rFonts w:ascii="Verdana" w:hAnsi="Verdana"/>
          <w:sz w:val="16"/>
          <w:szCs w:val="16"/>
        </w:rPr>
        <w:footnoteRef/>
      </w:r>
      <w:r w:rsidRPr="003253B4">
        <w:rPr>
          <w:rFonts w:ascii="Verdana" w:hAnsi="Verdana"/>
          <w:sz w:val="16"/>
          <w:szCs w:val="16"/>
        </w:rPr>
        <w:t xml:space="preserve"> </w:t>
      </w:r>
      <w:r>
        <w:rPr>
          <w:rFonts w:ascii="Verdana" w:hAnsi="Verdana"/>
          <w:sz w:val="16"/>
          <w:szCs w:val="16"/>
        </w:rPr>
        <w:t>IORP-richtlijn is r</w:t>
      </w:r>
      <w:r w:rsidRPr="003253B4">
        <w:rPr>
          <w:rStyle w:val="Zwaar"/>
          <w:rFonts w:ascii="Verdana" w:hAnsi="Verdana" w:cs="Tahoma"/>
          <w:b w:val="0"/>
          <w:sz w:val="16"/>
          <w:szCs w:val="16"/>
        </w:rPr>
        <w:t>ichtlĳn 2003/41/EG van het Europees Parlement en de Raad van 3 juni 2003 betreffende de werkzaamheden van en het toezicht op instellingen voor bedrĳfspensioenvoorziening</w:t>
      </w:r>
      <w:r>
        <w:rPr>
          <w:rStyle w:val="Zwaar"/>
          <w:rFonts w:ascii="Verdana" w:hAnsi="Verdana" w:cs="Tahoma"/>
          <w:b w:val="0"/>
          <w:sz w:val="16"/>
          <w:szCs w:val="16"/>
        </w:rPr>
        <w:t xml:space="preserve"> (PbEU 2003, L 235).</w:t>
      </w:r>
    </w:p>
    <w:p w:rsidR="00636AC1" w:rsidRPr="003253B4" w:rsidRDefault="00636AC1">
      <w:pPr>
        <w:pStyle w:val="Voetnoottekst"/>
        <w:rPr>
          <w:rFonts w:ascii="Verdana" w:hAnsi="Verdana"/>
          <w:sz w:val="16"/>
          <w:szCs w:val="16"/>
        </w:rPr>
      </w:pPr>
      <w:r>
        <w:rPr>
          <w:rFonts w:ascii="Verdana" w:hAnsi="Verdana"/>
          <w:sz w:val="16"/>
          <w:szCs w:val="16"/>
        </w:rPr>
        <w:t xml:space="preserve"> </w:t>
      </w:r>
    </w:p>
  </w:footnote>
  <w:footnote w:id="13">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De ‘basic-vergunning’ is de nationale vergunning voor verzekeraars met een beperkte risico-omvang. </w:t>
      </w:r>
    </w:p>
  </w:footnote>
  <w:footnote w:id="14">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Hierbij wordt er kortheidshalve vanuit gegaan dat de zogenoemde verdragsexcepties uit de artikelen 51 en 52 VWEU (openbare orde; openbare veiligheid, volksgezondheid en werkzaamheden ter uitoefening van het openbaar gezag) niet van toepassing zijn.</w:t>
      </w:r>
    </w:p>
  </w:footnote>
  <w:footnote w:id="15">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w:t>
      </w:r>
      <w:r w:rsidRPr="002C30AA">
        <w:rPr>
          <w:rFonts w:ascii="Verdana" w:hAnsi="Verdana" w:cs="AIFGH D+ Univers"/>
          <w:sz w:val="16"/>
          <w:szCs w:val="16"/>
        </w:rPr>
        <w:t xml:space="preserve">HvJ EG 10 mei 1995, zaak C-384/93, NJ 1995, 703 (Alpine Investments). Het betreft in deze zaak een belemmering van het vrij verkeer van diensten, deze rechtspraak is echter evenzeer toepasbaar op het vrij verkeer van vestiging. </w:t>
      </w:r>
    </w:p>
  </w:footnote>
  <w:footnote w:id="16">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Zie onder meer het arrest van het Hof in zaak C-210/96 (Gut Springenheide) Jur. 1998, p. I-4657. enC-210/96 (Gut Springenheide) Jur. 1998, p. I-4657.</w:t>
      </w:r>
    </w:p>
  </w:footnote>
  <w:footnote w:id="17">
    <w:p w:rsidR="00636AC1" w:rsidRDefault="00636AC1">
      <w:pPr>
        <w:pStyle w:val="Voetnoottekst"/>
      </w:pPr>
      <w:r>
        <w:rPr>
          <w:rStyle w:val="Voetnootmarkering"/>
        </w:rPr>
        <w:footnoteRef/>
      </w:r>
      <w:r>
        <w:t xml:space="preserve"> </w:t>
      </w:r>
      <w:r>
        <w:rPr>
          <w:rFonts w:ascii="Verdana" w:hAnsi="Verdana"/>
          <w:sz w:val="16"/>
          <w:szCs w:val="16"/>
        </w:rPr>
        <w:t>W</w:t>
      </w:r>
      <w:r w:rsidRPr="002C30AA">
        <w:rPr>
          <w:rFonts w:ascii="Verdana" w:hAnsi="Verdana"/>
          <w:sz w:val="16"/>
          <w:szCs w:val="16"/>
        </w:rPr>
        <w:t>ijzigingswet financiële markten 2015</w:t>
      </w:r>
      <w:r>
        <w:rPr>
          <w:rFonts w:ascii="Verdana" w:hAnsi="Verdana"/>
          <w:sz w:val="16"/>
          <w:szCs w:val="16"/>
        </w:rPr>
        <w:t>.</w:t>
      </w:r>
    </w:p>
  </w:footnote>
  <w:footnote w:id="18">
    <w:p w:rsidR="00636AC1" w:rsidRPr="002C30AA" w:rsidRDefault="00636AC1" w:rsidP="002C30AA">
      <w:pPr>
        <w:pStyle w:val="Voetnoottekst"/>
        <w:rPr>
          <w:rFonts w:ascii="Verdana" w:hAnsi="Verdana"/>
          <w:sz w:val="16"/>
          <w:szCs w:val="16"/>
        </w:rPr>
      </w:pPr>
      <w:r w:rsidRPr="002C30AA">
        <w:rPr>
          <w:rStyle w:val="Voetnootmarkering"/>
          <w:rFonts w:ascii="Verdana" w:hAnsi="Verdana"/>
          <w:sz w:val="16"/>
          <w:szCs w:val="16"/>
        </w:rPr>
        <w:footnoteRef/>
      </w:r>
      <w:r w:rsidRPr="002C30AA">
        <w:rPr>
          <w:rFonts w:ascii="Verdana" w:hAnsi="Verdana"/>
          <w:sz w:val="16"/>
          <w:szCs w:val="16"/>
        </w:rPr>
        <w:t xml:space="preserve"> Regeling taakuitoefening en grensoverschrijdende samenwerking financiële toezichthouders Wft.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7DA4"/>
    <w:multiLevelType w:val="hybridMultilevel"/>
    <w:tmpl w:val="12F6E942"/>
    <w:lvl w:ilvl="0" w:tplc="393627EA">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9049D5"/>
    <w:multiLevelType w:val="hybridMultilevel"/>
    <w:tmpl w:val="27EC020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E05F4D"/>
    <w:multiLevelType w:val="hybridMultilevel"/>
    <w:tmpl w:val="037646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7381129"/>
    <w:multiLevelType w:val="hybridMultilevel"/>
    <w:tmpl w:val="D8665B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675849"/>
    <w:multiLevelType w:val="hybridMultilevel"/>
    <w:tmpl w:val="CFE6634E"/>
    <w:lvl w:ilvl="0" w:tplc="6310C316">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5">
    <w:nsid w:val="098F755B"/>
    <w:multiLevelType w:val="hybridMultilevel"/>
    <w:tmpl w:val="96C8EBB0"/>
    <w:lvl w:ilvl="0" w:tplc="C786FF38">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A396E0A"/>
    <w:multiLevelType w:val="hybridMultilevel"/>
    <w:tmpl w:val="CD4EA0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AE945C0"/>
    <w:multiLevelType w:val="hybridMultilevel"/>
    <w:tmpl w:val="E11A4B84"/>
    <w:lvl w:ilvl="0" w:tplc="9034ADD8">
      <w:start w:val="1"/>
      <w:numFmt w:val="decimal"/>
      <w:lvlText w:val="%1."/>
      <w:lvlJc w:val="left"/>
      <w:pPr>
        <w:tabs>
          <w:tab w:val="num" w:pos="357"/>
        </w:tabs>
        <w:ind w:left="357" w:hanging="357"/>
      </w:pPr>
      <w:rPr>
        <w:rFonts w:ascii="Verdana" w:eastAsia="Calibri" w:hAnsi="Verdana" w:cs="Arial"/>
        <w:b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0B3A5DC7"/>
    <w:multiLevelType w:val="hybridMultilevel"/>
    <w:tmpl w:val="7D269F68"/>
    <w:lvl w:ilvl="0" w:tplc="0F02FA72">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F1A04E6"/>
    <w:multiLevelType w:val="hybridMultilevel"/>
    <w:tmpl w:val="177E7DEE"/>
    <w:lvl w:ilvl="0" w:tplc="C8305B4E">
      <w:start w:val="1"/>
      <w:numFmt w:val="decimal"/>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10">
    <w:nsid w:val="112200C3"/>
    <w:multiLevelType w:val="hybridMultilevel"/>
    <w:tmpl w:val="23A287AA"/>
    <w:lvl w:ilvl="0" w:tplc="7884D0FE">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1">
    <w:nsid w:val="184F3A21"/>
    <w:multiLevelType w:val="hybridMultilevel"/>
    <w:tmpl w:val="23D4EA50"/>
    <w:lvl w:ilvl="0" w:tplc="9BAEEC7E">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BF65E78"/>
    <w:multiLevelType w:val="hybridMultilevel"/>
    <w:tmpl w:val="154ED930"/>
    <w:lvl w:ilvl="0" w:tplc="DCF4F9D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C8E2441"/>
    <w:multiLevelType w:val="hybridMultilevel"/>
    <w:tmpl w:val="EC622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CE8221A"/>
    <w:multiLevelType w:val="hybridMultilevel"/>
    <w:tmpl w:val="0A467D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1F912E2B"/>
    <w:multiLevelType w:val="hybridMultilevel"/>
    <w:tmpl w:val="2BCEF596"/>
    <w:lvl w:ilvl="0" w:tplc="7EA61DD8">
      <w:start w:val="1"/>
      <w:numFmt w:val="lowerLetter"/>
      <w:lvlText w:val="(%1)"/>
      <w:lvlJc w:val="left"/>
      <w:pPr>
        <w:ind w:left="1422" w:hanging="720"/>
      </w:pPr>
      <w:rPr>
        <w:rFonts w:hint="default"/>
      </w:rPr>
    </w:lvl>
    <w:lvl w:ilvl="1" w:tplc="04130019" w:tentative="1">
      <w:start w:val="1"/>
      <w:numFmt w:val="lowerLetter"/>
      <w:lvlText w:val="%2."/>
      <w:lvlJc w:val="left"/>
      <w:pPr>
        <w:ind w:left="1782" w:hanging="360"/>
      </w:pPr>
    </w:lvl>
    <w:lvl w:ilvl="2" w:tplc="0413001B" w:tentative="1">
      <w:start w:val="1"/>
      <w:numFmt w:val="lowerRoman"/>
      <w:lvlText w:val="%3."/>
      <w:lvlJc w:val="right"/>
      <w:pPr>
        <w:ind w:left="2502" w:hanging="180"/>
      </w:pPr>
    </w:lvl>
    <w:lvl w:ilvl="3" w:tplc="0413000F" w:tentative="1">
      <w:start w:val="1"/>
      <w:numFmt w:val="decimal"/>
      <w:lvlText w:val="%4."/>
      <w:lvlJc w:val="left"/>
      <w:pPr>
        <w:ind w:left="3222" w:hanging="360"/>
      </w:pPr>
    </w:lvl>
    <w:lvl w:ilvl="4" w:tplc="04130019" w:tentative="1">
      <w:start w:val="1"/>
      <w:numFmt w:val="lowerLetter"/>
      <w:lvlText w:val="%5."/>
      <w:lvlJc w:val="left"/>
      <w:pPr>
        <w:ind w:left="3942" w:hanging="360"/>
      </w:pPr>
    </w:lvl>
    <w:lvl w:ilvl="5" w:tplc="0413001B" w:tentative="1">
      <w:start w:val="1"/>
      <w:numFmt w:val="lowerRoman"/>
      <w:lvlText w:val="%6."/>
      <w:lvlJc w:val="right"/>
      <w:pPr>
        <w:ind w:left="4662" w:hanging="180"/>
      </w:pPr>
    </w:lvl>
    <w:lvl w:ilvl="6" w:tplc="0413000F" w:tentative="1">
      <w:start w:val="1"/>
      <w:numFmt w:val="decimal"/>
      <w:lvlText w:val="%7."/>
      <w:lvlJc w:val="left"/>
      <w:pPr>
        <w:ind w:left="5382" w:hanging="360"/>
      </w:pPr>
    </w:lvl>
    <w:lvl w:ilvl="7" w:tplc="04130019" w:tentative="1">
      <w:start w:val="1"/>
      <w:numFmt w:val="lowerLetter"/>
      <w:lvlText w:val="%8."/>
      <w:lvlJc w:val="left"/>
      <w:pPr>
        <w:ind w:left="6102" w:hanging="360"/>
      </w:pPr>
    </w:lvl>
    <w:lvl w:ilvl="8" w:tplc="0413001B" w:tentative="1">
      <w:start w:val="1"/>
      <w:numFmt w:val="lowerRoman"/>
      <w:lvlText w:val="%9."/>
      <w:lvlJc w:val="right"/>
      <w:pPr>
        <w:ind w:left="6822" w:hanging="180"/>
      </w:pPr>
    </w:lvl>
  </w:abstractNum>
  <w:abstractNum w:abstractNumId="16">
    <w:nsid w:val="21196917"/>
    <w:multiLevelType w:val="hybridMultilevel"/>
    <w:tmpl w:val="76A648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1A32B48"/>
    <w:multiLevelType w:val="hybridMultilevel"/>
    <w:tmpl w:val="6B04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7D12CBC"/>
    <w:multiLevelType w:val="hybridMultilevel"/>
    <w:tmpl w:val="1FAC703E"/>
    <w:lvl w:ilvl="0" w:tplc="2E46AAE2">
      <w:start w:val="1"/>
      <w:numFmt w:val="decimal"/>
      <w:lvlText w:val="%1."/>
      <w:lvlJc w:val="left"/>
      <w:pPr>
        <w:ind w:left="1071" w:hanging="360"/>
      </w:pPr>
      <w:rPr>
        <w:rFonts w:hint="default"/>
      </w:rPr>
    </w:lvl>
    <w:lvl w:ilvl="1" w:tplc="04130019" w:tentative="1">
      <w:start w:val="1"/>
      <w:numFmt w:val="lowerLetter"/>
      <w:lvlText w:val="%2."/>
      <w:lvlJc w:val="left"/>
      <w:pPr>
        <w:ind w:left="1791" w:hanging="360"/>
      </w:pPr>
    </w:lvl>
    <w:lvl w:ilvl="2" w:tplc="0413001B" w:tentative="1">
      <w:start w:val="1"/>
      <w:numFmt w:val="lowerRoman"/>
      <w:lvlText w:val="%3."/>
      <w:lvlJc w:val="right"/>
      <w:pPr>
        <w:ind w:left="2511" w:hanging="180"/>
      </w:pPr>
    </w:lvl>
    <w:lvl w:ilvl="3" w:tplc="0413000F" w:tentative="1">
      <w:start w:val="1"/>
      <w:numFmt w:val="decimal"/>
      <w:lvlText w:val="%4."/>
      <w:lvlJc w:val="left"/>
      <w:pPr>
        <w:ind w:left="3231" w:hanging="360"/>
      </w:pPr>
    </w:lvl>
    <w:lvl w:ilvl="4" w:tplc="04130019" w:tentative="1">
      <w:start w:val="1"/>
      <w:numFmt w:val="lowerLetter"/>
      <w:lvlText w:val="%5."/>
      <w:lvlJc w:val="left"/>
      <w:pPr>
        <w:ind w:left="3951" w:hanging="360"/>
      </w:pPr>
    </w:lvl>
    <w:lvl w:ilvl="5" w:tplc="0413001B" w:tentative="1">
      <w:start w:val="1"/>
      <w:numFmt w:val="lowerRoman"/>
      <w:lvlText w:val="%6."/>
      <w:lvlJc w:val="right"/>
      <w:pPr>
        <w:ind w:left="4671" w:hanging="180"/>
      </w:pPr>
    </w:lvl>
    <w:lvl w:ilvl="6" w:tplc="0413000F" w:tentative="1">
      <w:start w:val="1"/>
      <w:numFmt w:val="decimal"/>
      <w:lvlText w:val="%7."/>
      <w:lvlJc w:val="left"/>
      <w:pPr>
        <w:ind w:left="5391" w:hanging="360"/>
      </w:pPr>
    </w:lvl>
    <w:lvl w:ilvl="7" w:tplc="04130019" w:tentative="1">
      <w:start w:val="1"/>
      <w:numFmt w:val="lowerLetter"/>
      <w:lvlText w:val="%8."/>
      <w:lvlJc w:val="left"/>
      <w:pPr>
        <w:ind w:left="6111" w:hanging="360"/>
      </w:pPr>
    </w:lvl>
    <w:lvl w:ilvl="8" w:tplc="0413001B" w:tentative="1">
      <w:start w:val="1"/>
      <w:numFmt w:val="lowerRoman"/>
      <w:lvlText w:val="%9."/>
      <w:lvlJc w:val="right"/>
      <w:pPr>
        <w:ind w:left="6831" w:hanging="180"/>
      </w:pPr>
    </w:lvl>
  </w:abstractNum>
  <w:abstractNum w:abstractNumId="19">
    <w:nsid w:val="27ED7790"/>
    <w:multiLevelType w:val="hybridMultilevel"/>
    <w:tmpl w:val="FA16C368"/>
    <w:lvl w:ilvl="0" w:tplc="9C38AA04">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20">
    <w:nsid w:val="29CD5174"/>
    <w:multiLevelType w:val="hybridMultilevel"/>
    <w:tmpl w:val="41861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2CCE16E5"/>
    <w:multiLevelType w:val="hybridMultilevel"/>
    <w:tmpl w:val="168AEF9C"/>
    <w:lvl w:ilvl="0" w:tplc="E8140C46">
      <w:start w:val="2"/>
      <w:numFmt w:val="bullet"/>
      <w:lvlText w:val="-"/>
      <w:lvlJc w:val="left"/>
      <w:pPr>
        <w:ind w:left="1080" w:hanging="360"/>
      </w:pPr>
      <w:rPr>
        <w:rFonts w:ascii="Verdana" w:eastAsia="Calibri" w:hAnsi="Verdana" w:cs="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2F05058B"/>
    <w:multiLevelType w:val="hybridMultilevel"/>
    <w:tmpl w:val="048CA762"/>
    <w:lvl w:ilvl="0" w:tplc="2BD29036">
      <w:start w:val="1"/>
      <w:numFmt w:val="lowerLetter"/>
      <w:lvlText w:val="%1."/>
      <w:lvlJc w:val="left"/>
      <w:pPr>
        <w:ind w:left="2496" w:hanging="360"/>
      </w:pPr>
      <w:rPr>
        <w:rFonts w:hint="default"/>
      </w:rPr>
    </w:lvl>
    <w:lvl w:ilvl="1" w:tplc="04130019" w:tentative="1">
      <w:start w:val="1"/>
      <w:numFmt w:val="lowerLetter"/>
      <w:lvlText w:val="%2."/>
      <w:lvlJc w:val="left"/>
      <w:pPr>
        <w:ind w:left="3216" w:hanging="360"/>
      </w:pPr>
    </w:lvl>
    <w:lvl w:ilvl="2" w:tplc="0413001B" w:tentative="1">
      <w:start w:val="1"/>
      <w:numFmt w:val="lowerRoman"/>
      <w:lvlText w:val="%3."/>
      <w:lvlJc w:val="right"/>
      <w:pPr>
        <w:ind w:left="3936" w:hanging="180"/>
      </w:pPr>
    </w:lvl>
    <w:lvl w:ilvl="3" w:tplc="0413000F" w:tentative="1">
      <w:start w:val="1"/>
      <w:numFmt w:val="decimal"/>
      <w:lvlText w:val="%4."/>
      <w:lvlJc w:val="left"/>
      <w:pPr>
        <w:ind w:left="4656" w:hanging="360"/>
      </w:pPr>
    </w:lvl>
    <w:lvl w:ilvl="4" w:tplc="04130019" w:tentative="1">
      <w:start w:val="1"/>
      <w:numFmt w:val="lowerLetter"/>
      <w:lvlText w:val="%5."/>
      <w:lvlJc w:val="left"/>
      <w:pPr>
        <w:ind w:left="5376" w:hanging="360"/>
      </w:pPr>
    </w:lvl>
    <w:lvl w:ilvl="5" w:tplc="0413001B" w:tentative="1">
      <w:start w:val="1"/>
      <w:numFmt w:val="lowerRoman"/>
      <w:lvlText w:val="%6."/>
      <w:lvlJc w:val="right"/>
      <w:pPr>
        <w:ind w:left="6096" w:hanging="180"/>
      </w:pPr>
    </w:lvl>
    <w:lvl w:ilvl="6" w:tplc="0413000F" w:tentative="1">
      <w:start w:val="1"/>
      <w:numFmt w:val="decimal"/>
      <w:lvlText w:val="%7."/>
      <w:lvlJc w:val="left"/>
      <w:pPr>
        <w:ind w:left="6816" w:hanging="360"/>
      </w:pPr>
    </w:lvl>
    <w:lvl w:ilvl="7" w:tplc="04130019" w:tentative="1">
      <w:start w:val="1"/>
      <w:numFmt w:val="lowerLetter"/>
      <w:lvlText w:val="%8."/>
      <w:lvlJc w:val="left"/>
      <w:pPr>
        <w:ind w:left="7536" w:hanging="360"/>
      </w:pPr>
    </w:lvl>
    <w:lvl w:ilvl="8" w:tplc="0413001B" w:tentative="1">
      <w:start w:val="1"/>
      <w:numFmt w:val="lowerRoman"/>
      <w:lvlText w:val="%9."/>
      <w:lvlJc w:val="right"/>
      <w:pPr>
        <w:ind w:left="8256" w:hanging="180"/>
      </w:pPr>
    </w:lvl>
  </w:abstractNum>
  <w:abstractNum w:abstractNumId="23">
    <w:nsid w:val="2F1746E4"/>
    <w:multiLevelType w:val="hybridMultilevel"/>
    <w:tmpl w:val="41EA3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0403F3F"/>
    <w:multiLevelType w:val="hybridMultilevel"/>
    <w:tmpl w:val="F00820BC"/>
    <w:lvl w:ilvl="0" w:tplc="61AA380E">
      <w:start w:val="1"/>
      <w:numFmt w:val="decimal"/>
      <w:lvlText w:val="%1."/>
      <w:lvlJc w:val="left"/>
      <w:pPr>
        <w:ind w:left="366" w:hanging="360"/>
      </w:pPr>
      <w:rPr>
        <w:rFonts w:hint="default"/>
      </w:rPr>
    </w:lvl>
    <w:lvl w:ilvl="1" w:tplc="04130019" w:tentative="1">
      <w:start w:val="1"/>
      <w:numFmt w:val="lowerLetter"/>
      <w:lvlText w:val="%2."/>
      <w:lvlJc w:val="left"/>
      <w:pPr>
        <w:ind w:left="1086" w:hanging="360"/>
      </w:pPr>
    </w:lvl>
    <w:lvl w:ilvl="2" w:tplc="0413001B" w:tentative="1">
      <w:start w:val="1"/>
      <w:numFmt w:val="lowerRoman"/>
      <w:lvlText w:val="%3."/>
      <w:lvlJc w:val="right"/>
      <w:pPr>
        <w:ind w:left="1806" w:hanging="180"/>
      </w:pPr>
    </w:lvl>
    <w:lvl w:ilvl="3" w:tplc="0413000F" w:tentative="1">
      <w:start w:val="1"/>
      <w:numFmt w:val="decimal"/>
      <w:lvlText w:val="%4."/>
      <w:lvlJc w:val="left"/>
      <w:pPr>
        <w:ind w:left="2526" w:hanging="360"/>
      </w:pPr>
    </w:lvl>
    <w:lvl w:ilvl="4" w:tplc="04130019" w:tentative="1">
      <w:start w:val="1"/>
      <w:numFmt w:val="lowerLetter"/>
      <w:lvlText w:val="%5."/>
      <w:lvlJc w:val="left"/>
      <w:pPr>
        <w:ind w:left="3246" w:hanging="360"/>
      </w:pPr>
    </w:lvl>
    <w:lvl w:ilvl="5" w:tplc="0413001B" w:tentative="1">
      <w:start w:val="1"/>
      <w:numFmt w:val="lowerRoman"/>
      <w:lvlText w:val="%6."/>
      <w:lvlJc w:val="right"/>
      <w:pPr>
        <w:ind w:left="3966" w:hanging="180"/>
      </w:pPr>
    </w:lvl>
    <w:lvl w:ilvl="6" w:tplc="0413000F" w:tentative="1">
      <w:start w:val="1"/>
      <w:numFmt w:val="decimal"/>
      <w:lvlText w:val="%7."/>
      <w:lvlJc w:val="left"/>
      <w:pPr>
        <w:ind w:left="4686" w:hanging="360"/>
      </w:pPr>
    </w:lvl>
    <w:lvl w:ilvl="7" w:tplc="04130019" w:tentative="1">
      <w:start w:val="1"/>
      <w:numFmt w:val="lowerLetter"/>
      <w:lvlText w:val="%8."/>
      <w:lvlJc w:val="left"/>
      <w:pPr>
        <w:ind w:left="5406" w:hanging="360"/>
      </w:pPr>
    </w:lvl>
    <w:lvl w:ilvl="8" w:tplc="0413001B" w:tentative="1">
      <w:start w:val="1"/>
      <w:numFmt w:val="lowerRoman"/>
      <w:lvlText w:val="%9."/>
      <w:lvlJc w:val="right"/>
      <w:pPr>
        <w:ind w:left="6126" w:hanging="180"/>
      </w:pPr>
    </w:lvl>
  </w:abstractNum>
  <w:abstractNum w:abstractNumId="25">
    <w:nsid w:val="31717C30"/>
    <w:multiLevelType w:val="hybridMultilevel"/>
    <w:tmpl w:val="B15235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1997766"/>
    <w:multiLevelType w:val="hybridMultilevel"/>
    <w:tmpl w:val="70CCB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31D28C4"/>
    <w:multiLevelType w:val="hybridMultilevel"/>
    <w:tmpl w:val="CAAA7D14"/>
    <w:lvl w:ilvl="0" w:tplc="CF0EE86E">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4DC0FB1"/>
    <w:multiLevelType w:val="hybridMultilevel"/>
    <w:tmpl w:val="527E07E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54A0F3E"/>
    <w:multiLevelType w:val="hybridMultilevel"/>
    <w:tmpl w:val="BAF857FA"/>
    <w:lvl w:ilvl="0" w:tplc="28C8D0A4">
      <w:start w:val="3"/>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360C1642"/>
    <w:multiLevelType w:val="hybridMultilevel"/>
    <w:tmpl w:val="7968EC24"/>
    <w:lvl w:ilvl="0" w:tplc="3A1A413E">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31">
    <w:nsid w:val="362611B1"/>
    <w:multiLevelType w:val="hybridMultilevel"/>
    <w:tmpl w:val="5A62C4A4"/>
    <w:lvl w:ilvl="0" w:tplc="89AAE032">
      <w:start w:val="3"/>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3730762F"/>
    <w:multiLevelType w:val="hybridMultilevel"/>
    <w:tmpl w:val="B80E8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387C3F08"/>
    <w:multiLevelType w:val="hybridMultilevel"/>
    <w:tmpl w:val="AD20182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388871DB"/>
    <w:multiLevelType w:val="hybridMultilevel"/>
    <w:tmpl w:val="8256A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3C8D2A45"/>
    <w:multiLevelType w:val="hybridMultilevel"/>
    <w:tmpl w:val="CAC8E204"/>
    <w:lvl w:ilvl="0" w:tplc="3F503348">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36">
    <w:nsid w:val="3EB554F4"/>
    <w:multiLevelType w:val="hybridMultilevel"/>
    <w:tmpl w:val="48705550"/>
    <w:lvl w:ilvl="0" w:tplc="78C20A9A">
      <w:start w:val="2"/>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nsid w:val="3EFD27B0"/>
    <w:multiLevelType w:val="hybridMultilevel"/>
    <w:tmpl w:val="0A8E4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41824886"/>
    <w:multiLevelType w:val="hybridMultilevel"/>
    <w:tmpl w:val="214A7628"/>
    <w:lvl w:ilvl="0" w:tplc="F6FCE84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nsid w:val="45F57843"/>
    <w:multiLevelType w:val="hybridMultilevel"/>
    <w:tmpl w:val="48240B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4A3A5ED9"/>
    <w:multiLevelType w:val="hybridMultilevel"/>
    <w:tmpl w:val="80B0560C"/>
    <w:lvl w:ilvl="0" w:tplc="F030FC80">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41">
    <w:nsid w:val="4C4006DF"/>
    <w:multiLevelType w:val="hybridMultilevel"/>
    <w:tmpl w:val="ED940BD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4FEC4BF2"/>
    <w:multiLevelType w:val="hybridMultilevel"/>
    <w:tmpl w:val="319812C4"/>
    <w:lvl w:ilvl="0" w:tplc="915ACA1C">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43">
    <w:nsid w:val="52E02926"/>
    <w:multiLevelType w:val="hybridMultilevel"/>
    <w:tmpl w:val="F4C6D1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54062773"/>
    <w:multiLevelType w:val="hybridMultilevel"/>
    <w:tmpl w:val="74A0B6FC"/>
    <w:lvl w:ilvl="0" w:tplc="6D54BC32">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55F97359"/>
    <w:multiLevelType w:val="hybridMultilevel"/>
    <w:tmpl w:val="94227308"/>
    <w:lvl w:ilvl="0" w:tplc="241233E0">
      <w:start w:val="5"/>
      <w:numFmt w:val="decimal"/>
      <w:lvlText w:val="%1."/>
      <w:lvlJc w:val="left"/>
      <w:pPr>
        <w:ind w:left="1071" w:hanging="360"/>
      </w:pPr>
      <w:rPr>
        <w:rFonts w:hint="default"/>
      </w:rPr>
    </w:lvl>
    <w:lvl w:ilvl="1" w:tplc="04130019" w:tentative="1">
      <w:start w:val="1"/>
      <w:numFmt w:val="lowerLetter"/>
      <w:lvlText w:val="%2."/>
      <w:lvlJc w:val="left"/>
      <w:pPr>
        <w:ind w:left="1791" w:hanging="360"/>
      </w:pPr>
    </w:lvl>
    <w:lvl w:ilvl="2" w:tplc="0413001B" w:tentative="1">
      <w:start w:val="1"/>
      <w:numFmt w:val="lowerRoman"/>
      <w:lvlText w:val="%3."/>
      <w:lvlJc w:val="right"/>
      <w:pPr>
        <w:ind w:left="2511" w:hanging="180"/>
      </w:pPr>
    </w:lvl>
    <w:lvl w:ilvl="3" w:tplc="0413000F" w:tentative="1">
      <w:start w:val="1"/>
      <w:numFmt w:val="decimal"/>
      <w:lvlText w:val="%4."/>
      <w:lvlJc w:val="left"/>
      <w:pPr>
        <w:ind w:left="3231" w:hanging="360"/>
      </w:pPr>
    </w:lvl>
    <w:lvl w:ilvl="4" w:tplc="04130019" w:tentative="1">
      <w:start w:val="1"/>
      <w:numFmt w:val="lowerLetter"/>
      <w:lvlText w:val="%5."/>
      <w:lvlJc w:val="left"/>
      <w:pPr>
        <w:ind w:left="3951" w:hanging="360"/>
      </w:pPr>
    </w:lvl>
    <w:lvl w:ilvl="5" w:tplc="0413001B" w:tentative="1">
      <w:start w:val="1"/>
      <w:numFmt w:val="lowerRoman"/>
      <w:lvlText w:val="%6."/>
      <w:lvlJc w:val="right"/>
      <w:pPr>
        <w:ind w:left="4671" w:hanging="180"/>
      </w:pPr>
    </w:lvl>
    <w:lvl w:ilvl="6" w:tplc="0413000F" w:tentative="1">
      <w:start w:val="1"/>
      <w:numFmt w:val="decimal"/>
      <w:lvlText w:val="%7."/>
      <w:lvlJc w:val="left"/>
      <w:pPr>
        <w:ind w:left="5391" w:hanging="360"/>
      </w:pPr>
    </w:lvl>
    <w:lvl w:ilvl="7" w:tplc="04130019" w:tentative="1">
      <w:start w:val="1"/>
      <w:numFmt w:val="lowerLetter"/>
      <w:lvlText w:val="%8."/>
      <w:lvlJc w:val="left"/>
      <w:pPr>
        <w:ind w:left="6111" w:hanging="360"/>
      </w:pPr>
    </w:lvl>
    <w:lvl w:ilvl="8" w:tplc="0413001B" w:tentative="1">
      <w:start w:val="1"/>
      <w:numFmt w:val="lowerRoman"/>
      <w:lvlText w:val="%9."/>
      <w:lvlJc w:val="right"/>
      <w:pPr>
        <w:ind w:left="6831" w:hanging="180"/>
      </w:pPr>
    </w:lvl>
  </w:abstractNum>
  <w:abstractNum w:abstractNumId="46">
    <w:nsid w:val="5C6972B2"/>
    <w:multiLevelType w:val="hybridMultilevel"/>
    <w:tmpl w:val="F558E8C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611531E9"/>
    <w:multiLevelType w:val="hybridMultilevel"/>
    <w:tmpl w:val="F670B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613925BC"/>
    <w:multiLevelType w:val="hybridMultilevel"/>
    <w:tmpl w:val="21AE9240"/>
    <w:lvl w:ilvl="0" w:tplc="43C09F8E">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61832A1F"/>
    <w:multiLevelType w:val="hybridMultilevel"/>
    <w:tmpl w:val="DC36B6E4"/>
    <w:lvl w:ilvl="0" w:tplc="3974A7C0">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50">
    <w:nsid w:val="619B3383"/>
    <w:multiLevelType w:val="hybridMultilevel"/>
    <w:tmpl w:val="5C9E8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nsid w:val="643C3037"/>
    <w:multiLevelType w:val="hybridMultilevel"/>
    <w:tmpl w:val="DF38F5B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nsid w:val="647F312D"/>
    <w:multiLevelType w:val="hybridMultilevel"/>
    <w:tmpl w:val="F39AEA70"/>
    <w:lvl w:ilvl="0" w:tplc="623054AC">
      <w:start w:val="1"/>
      <w:numFmt w:val="decimal"/>
      <w:lvlText w:val="%1."/>
      <w:lvlJc w:val="left"/>
      <w:pPr>
        <w:ind w:left="360" w:hanging="360"/>
      </w:pPr>
      <w:rPr>
        <w:rFonts w:hint="default"/>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nsid w:val="65930B8A"/>
    <w:multiLevelType w:val="hybridMultilevel"/>
    <w:tmpl w:val="E410C2FC"/>
    <w:lvl w:ilvl="0" w:tplc="BF92D220">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65F52F32"/>
    <w:multiLevelType w:val="hybridMultilevel"/>
    <w:tmpl w:val="4EC42E04"/>
    <w:lvl w:ilvl="0" w:tplc="08DAD538">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55">
    <w:nsid w:val="665F1C87"/>
    <w:multiLevelType w:val="hybridMultilevel"/>
    <w:tmpl w:val="DBAC0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6908223F"/>
    <w:multiLevelType w:val="hybridMultilevel"/>
    <w:tmpl w:val="A0C2B27A"/>
    <w:lvl w:ilvl="0" w:tplc="5DFAD9FE">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57">
    <w:nsid w:val="6A2548C6"/>
    <w:multiLevelType w:val="hybridMultilevel"/>
    <w:tmpl w:val="314CA3D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nsid w:val="6AFE719A"/>
    <w:multiLevelType w:val="hybridMultilevel"/>
    <w:tmpl w:val="3DC05E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nsid w:val="6B1B31E8"/>
    <w:multiLevelType w:val="hybridMultilevel"/>
    <w:tmpl w:val="B04CF7CC"/>
    <w:lvl w:ilvl="0" w:tplc="B58E92C8">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0">
    <w:nsid w:val="6CBA5964"/>
    <w:multiLevelType w:val="hybridMultilevel"/>
    <w:tmpl w:val="6366AEEE"/>
    <w:lvl w:ilvl="0" w:tplc="5AB09676">
      <w:start w:val="1"/>
      <w:numFmt w:val="decimal"/>
      <w:lvlText w:val="%1."/>
      <w:lvlJc w:val="left"/>
      <w:pPr>
        <w:ind w:left="720" w:hanging="360"/>
      </w:pPr>
      <w:rPr>
        <w:rFonts w:ascii="Verdana" w:eastAsia="Calibr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nsid w:val="6D1D2E25"/>
    <w:multiLevelType w:val="hybridMultilevel"/>
    <w:tmpl w:val="D3B42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nsid w:val="6D617BE4"/>
    <w:multiLevelType w:val="hybridMultilevel"/>
    <w:tmpl w:val="3B0002E0"/>
    <w:lvl w:ilvl="0" w:tplc="0B0C054A">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63">
    <w:nsid w:val="70262A29"/>
    <w:multiLevelType w:val="hybridMultilevel"/>
    <w:tmpl w:val="2400656E"/>
    <w:lvl w:ilvl="0" w:tplc="62A6D33C">
      <w:start w:val="1"/>
      <w:numFmt w:val="lowerLetter"/>
      <w:lvlText w:val="(%1)"/>
      <w:lvlJc w:val="left"/>
      <w:pPr>
        <w:ind w:left="1146"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nsid w:val="74E7125C"/>
    <w:multiLevelType w:val="hybridMultilevel"/>
    <w:tmpl w:val="0DACF2DE"/>
    <w:lvl w:ilvl="0" w:tplc="5452549A">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65">
    <w:nsid w:val="75162304"/>
    <w:multiLevelType w:val="multilevel"/>
    <w:tmpl w:val="17821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3A2C21"/>
    <w:multiLevelType w:val="hybridMultilevel"/>
    <w:tmpl w:val="47607CE8"/>
    <w:lvl w:ilvl="0" w:tplc="972048D4">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num w:numId="1">
    <w:abstractNumId w:val="7"/>
  </w:num>
  <w:num w:numId="2">
    <w:abstractNumId w:val="26"/>
  </w:num>
  <w:num w:numId="3">
    <w:abstractNumId w:val="0"/>
  </w:num>
  <w:num w:numId="4">
    <w:abstractNumId w:val="13"/>
  </w:num>
  <w:num w:numId="5">
    <w:abstractNumId w:val="24"/>
  </w:num>
  <w:num w:numId="6">
    <w:abstractNumId w:val="59"/>
  </w:num>
  <w:num w:numId="7">
    <w:abstractNumId w:val="25"/>
  </w:num>
  <w:num w:numId="8">
    <w:abstractNumId w:val="28"/>
  </w:num>
  <w:num w:numId="9">
    <w:abstractNumId w:val="6"/>
  </w:num>
  <w:num w:numId="10">
    <w:abstractNumId w:val="23"/>
  </w:num>
  <w:num w:numId="11">
    <w:abstractNumId w:val="55"/>
  </w:num>
  <w:num w:numId="12">
    <w:abstractNumId w:val="9"/>
  </w:num>
  <w:num w:numId="13">
    <w:abstractNumId w:val="36"/>
  </w:num>
  <w:num w:numId="14">
    <w:abstractNumId w:val="22"/>
  </w:num>
  <w:num w:numId="15">
    <w:abstractNumId w:val="49"/>
  </w:num>
  <w:num w:numId="16">
    <w:abstractNumId w:val="62"/>
  </w:num>
  <w:num w:numId="17">
    <w:abstractNumId w:val="56"/>
  </w:num>
  <w:num w:numId="18">
    <w:abstractNumId w:val="4"/>
  </w:num>
  <w:num w:numId="19">
    <w:abstractNumId w:val="40"/>
  </w:num>
  <w:num w:numId="20">
    <w:abstractNumId w:val="66"/>
  </w:num>
  <w:num w:numId="21">
    <w:abstractNumId w:val="19"/>
  </w:num>
  <w:num w:numId="22">
    <w:abstractNumId w:val="30"/>
  </w:num>
  <w:num w:numId="23">
    <w:abstractNumId w:val="54"/>
  </w:num>
  <w:num w:numId="24">
    <w:abstractNumId w:val="42"/>
  </w:num>
  <w:num w:numId="25">
    <w:abstractNumId w:val="35"/>
  </w:num>
  <w:num w:numId="26">
    <w:abstractNumId w:val="20"/>
  </w:num>
  <w:num w:numId="27">
    <w:abstractNumId w:val="10"/>
  </w:num>
  <w:num w:numId="28">
    <w:abstractNumId w:val="64"/>
  </w:num>
  <w:num w:numId="29">
    <w:abstractNumId w:val="3"/>
  </w:num>
  <w:num w:numId="30">
    <w:abstractNumId w:val="32"/>
  </w:num>
  <w:num w:numId="31">
    <w:abstractNumId w:val="47"/>
  </w:num>
  <w:num w:numId="32">
    <w:abstractNumId w:val="48"/>
  </w:num>
  <w:num w:numId="33">
    <w:abstractNumId w:val="21"/>
  </w:num>
  <w:num w:numId="34">
    <w:abstractNumId w:val="53"/>
  </w:num>
  <w:num w:numId="35">
    <w:abstractNumId w:val="11"/>
  </w:num>
  <w:num w:numId="36">
    <w:abstractNumId w:val="44"/>
  </w:num>
  <w:num w:numId="37">
    <w:abstractNumId w:val="60"/>
  </w:num>
  <w:num w:numId="38">
    <w:abstractNumId w:val="27"/>
  </w:num>
  <w:num w:numId="39">
    <w:abstractNumId w:val="65"/>
  </w:num>
  <w:num w:numId="40">
    <w:abstractNumId w:val="16"/>
  </w:num>
  <w:num w:numId="41">
    <w:abstractNumId w:val="57"/>
  </w:num>
  <w:num w:numId="42">
    <w:abstractNumId w:val="52"/>
  </w:num>
  <w:num w:numId="43">
    <w:abstractNumId w:val="8"/>
  </w:num>
  <w:num w:numId="44">
    <w:abstractNumId w:val="31"/>
  </w:num>
  <w:num w:numId="45">
    <w:abstractNumId w:val="29"/>
  </w:num>
  <w:num w:numId="46">
    <w:abstractNumId w:val="63"/>
  </w:num>
  <w:num w:numId="47">
    <w:abstractNumId w:val="5"/>
  </w:num>
  <w:num w:numId="48">
    <w:abstractNumId w:val="38"/>
  </w:num>
  <w:num w:numId="49">
    <w:abstractNumId w:val="17"/>
  </w:num>
  <w:num w:numId="50">
    <w:abstractNumId w:val="34"/>
  </w:num>
  <w:num w:numId="51">
    <w:abstractNumId w:val="43"/>
  </w:num>
  <w:num w:numId="52">
    <w:abstractNumId w:val="61"/>
  </w:num>
  <w:num w:numId="53">
    <w:abstractNumId w:val="39"/>
  </w:num>
  <w:num w:numId="54">
    <w:abstractNumId w:val="14"/>
  </w:num>
  <w:num w:numId="55">
    <w:abstractNumId w:val="2"/>
  </w:num>
  <w:num w:numId="56">
    <w:abstractNumId w:val="45"/>
  </w:num>
  <w:num w:numId="57">
    <w:abstractNumId w:val="46"/>
  </w:num>
  <w:num w:numId="58">
    <w:abstractNumId w:val="15"/>
  </w:num>
  <w:num w:numId="59">
    <w:abstractNumId w:val="50"/>
  </w:num>
  <w:num w:numId="60">
    <w:abstractNumId w:val="58"/>
  </w:num>
  <w:num w:numId="61">
    <w:abstractNumId w:val="18"/>
  </w:num>
  <w:num w:numId="62">
    <w:abstractNumId w:val="37"/>
  </w:num>
  <w:num w:numId="63">
    <w:abstractNumId w:val="51"/>
  </w:num>
  <w:num w:numId="64">
    <w:abstractNumId w:val="1"/>
  </w:num>
  <w:num w:numId="65">
    <w:abstractNumId w:val="41"/>
  </w:num>
  <w:num w:numId="66">
    <w:abstractNumId w:val="12"/>
  </w:num>
  <w:num w:numId="67">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86"/>
    <w:rsid w:val="00000E6E"/>
    <w:rsid w:val="00002BB7"/>
    <w:rsid w:val="0000350F"/>
    <w:rsid w:val="000104B9"/>
    <w:rsid w:val="00010ED7"/>
    <w:rsid w:val="00011CC5"/>
    <w:rsid w:val="000137EC"/>
    <w:rsid w:val="00015F62"/>
    <w:rsid w:val="000201B9"/>
    <w:rsid w:val="00020A05"/>
    <w:rsid w:val="00022408"/>
    <w:rsid w:val="000230DF"/>
    <w:rsid w:val="0002672C"/>
    <w:rsid w:val="00030D1D"/>
    <w:rsid w:val="00031325"/>
    <w:rsid w:val="00034095"/>
    <w:rsid w:val="00034B2F"/>
    <w:rsid w:val="00035588"/>
    <w:rsid w:val="00037E81"/>
    <w:rsid w:val="000533F7"/>
    <w:rsid w:val="000553D0"/>
    <w:rsid w:val="00056BF8"/>
    <w:rsid w:val="0005733C"/>
    <w:rsid w:val="000610A3"/>
    <w:rsid w:val="0006134B"/>
    <w:rsid w:val="00064812"/>
    <w:rsid w:val="00066E9D"/>
    <w:rsid w:val="000715F0"/>
    <w:rsid w:val="00073548"/>
    <w:rsid w:val="00077F5C"/>
    <w:rsid w:val="00085786"/>
    <w:rsid w:val="000869E9"/>
    <w:rsid w:val="00087939"/>
    <w:rsid w:val="00087EA8"/>
    <w:rsid w:val="00095B4F"/>
    <w:rsid w:val="000A62CC"/>
    <w:rsid w:val="000A78F8"/>
    <w:rsid w:val="000A7E28"/>
    <w:rsid w:val="000A7F40"/>
    <w:rsid w:val="000A7F44"/>
    <w:rsid w:val="000B064C"/>
    <w:rsid w:val="000B2D9D"/>
    <w:rsid w:val="000B2E72"/>
    <w:rsid w:val="000B37E7"/>
    <w:rsid w:val="000B68C7"/>
    <w:rsid w:val="000C0410"/>
    <w:rsid w:val="000C0B58"/>
    <w:rsid w:val="000C29A7"/>
    <w:rsid w:val="000C4279"/>
    <w:rsid w:val="000C5088"/>
    <w:rsid w:val="000D3271"/>
    <w:rsid w:val="000D3588"/>
    <w:rsid w:val="000E1F07"/>
    <w:rsid w:val="000E2327"/>
    <w:rsid w:val="000E5ABA"/>
    <w:rsid w:val="000E5E03"/>
    <w:rsid w:val="000E68DA"/>
    <w:rsid w:val="000F3689"/>
    <w:rsid w:val="000F66FB"/>
    <w:rsid w:val="000F7A1E"/>
    <w:rsid w:val="00100558"/>
    <w:rsid w:val="00100581"/>
    <w:rsid w:val="00101B20"/>
    <w:rsid w:val="00102D1C"/>
    <w:rsid w:val="00103B6E"/>
    <w:rsid w:val="001050FC"/>
    <w:rsid w:val="001106B4"/>
    <w:rsid w:val="0011092E"/>
    <w:rsid w:val="00111F12"/>
    <w:rsid w:val="00116C86"/>
    <w:rsid w:val="00116E9B"/>
    <w:rsid w:val="00123721"/>
    <w:rsid w:val="001239C9"/>
    <w:rsid w:val="0012425B"/>
    <w:rsid w:val="001244EF"/>
    <w:rsid w:val="00124FD9"/>
    <w:rsid w:val="00131BC8"/>
    <w:rsid w:val="00131F03"/>
    <w:rsid w:val="00137CA3"/>
    <w:rsid w:val="00137ECF"/>
    <w:rsid w:val="001422F2"/>
    <w:rsid w:val="001448B8"/>
    <w:rsid w:val="00146319"/>
    <w:rsid w:val="001477EF"/>
    <w:rsid w:val="001509F3"/>
    <w:rsid w:val="00154A1B"/>
    <w:rsid w:val="00154AF7"/>
    <w:rsid w:val="00155F18"/>
    <w:rsid w:val="00157057"/>
    <w:rsid w:val="00157438"/>
    <w:rsid w:val="0016117B"/>
    <w:rsid w:val="0016371C"/>
    <w:rsid w:val="00164ADC"/>
    <w:rsid w:val="00165B91"/>
    <w:rsid w:val="00170839"/>
    <w:rsid w:val="00170F0A"/>
    <w:rsid w:val="0017169E"/>
    <w:rsid w:val="00175B73"/>
    <w:rsid w:val="0017672F"/>
    <w:rsid w:val="00181970"/>
    <w:rsid w:val="001822E9"/>
    <w:rsid w:val="0018251B"/>
    <w:rsid w:val="0018298F"/>
    <w:rsid w:val="00184BEE"/>
    <w:rsid w:val="00186468"/>
    <w:rsid w:val="001904D8"/>
    <w:rsid w:val="0019263F"/>
    <w:rsid w:val="00192C67"/>
    <w:rsid w:val="00195AB9"/>
    <w:rsid w:val="001A1A7A"/>
    <w:rsid w:val="001A3EBC"/>
    <w:rsid w:val="001A409B"/>
    <w:rsid w:val="001A67D7"/>
    <w:rsid w:val="001B13BD"/>
    <w:rsid w:val="001B4CF3"/>
    <w:rsid w:val="001B4FB6"/>
    <w:rsid w:val="001B6462"/>
    <w:rsid w:val="001C1032"/>
    <w:rsid w:val="001C1FE0"/>
    <w:rsid w:val="001C51C0"/>
    <w:rsid w:val="001C5D78"/>
    <w:rsid w:val="001D0CAB"/>
    <w:rsid w:val="001D21A8"/>
    <w:rsid w:val="001D28B6"/>
    <w:rsid w:val="001D6382"/>
    <w:rsid w:val="001E0D42"/>
    <w:rsid w:val="001E1EFB"/>
    <w:rsid w:val="001E23CA"/>
    <w:rsid w:val="001E3622"/>
    <w:rsid w:val="001F0E23"/>
    <w:rsid w:val="001F251F"/>
    <w:rsid w:val="001F2A20"/>
    <w:rsid w:val="001F37F3"/>
    <w:rsid w:val="001F5610"/>
    <w:rsid w:val="001F7EB9"/>
    <w:rsid w:val="00201F2A"/>
    <w:rsid w:val="002020AA"/>
    <w:rsid w:val="00203782"/>
    <w:rsid w:val="00204250"/>
    <w:rsid w:val="002045EC"/>
    <w:rsid w:val="00213477"/>
    <w:rsid w:val="00214CAD"/>
    <w:rsid w:val="002153F8"/>
    <w:rsid w:val="002163CD"/>
    <w:rsid w:val="00222863"/>
    <w:rsid w:val="00222D75"/>
    <w:rsid w:val="0022474C"/>
    <w:rsid w:val="0022575E"/>
    <w:rsid w:val="00233CE6"/>
    <w:rsid w:val="00241B8D"/>
    <w:rsid w:val="00253101"/>
    <w:rsid w:val="00260290"/>
    <w:rsid w:val="00262FA8"/>
    <w:rsid w:val="0027707F"/>
    <w:rsid w:val="00281073"/>
    <w:rsid w:val="00281670"/>
    <w:rsid w:val="00282E71"/>
    <w:rsid w:val="0028730C"/>
    <w:rsid w:val="00290217"/>
    <w:rsid w:val="00292891"/>
    <w:rsid w:val="002959FB"/>
    <w:rsid w:val="00296810"/>
    <w:rsid w:val="00297CB0"/>
    <w:rsid w:val="002A2534"/>
    <w:rsid w:val="002A64CA"/>
    <w:rsid w:val="002A79B5"/>
    <w:rsid w:val="002B2382"/>
    <w:rsid w:val="002B5C54"/>
    <w:rsid w:val="002B781D"/>
    <w:rsid w:val="002C194F"/>
    <w:rsid w:val="002C30AA"/>
    <w:rsid w:val="002C5EAF"/>
    <w:rsid w:val="002C6B2C"/>
    <w:rsid w:val="002C7E58"/>
    <w:rsid w:val="002D4EE6"/>
    <w:rsid w:val="002D70FD"/>
    <w:rsid w:val="002E0321"/>
    <w:rsid w:val="002F054C"/>
    <w:rsid w:val="002F0818"/>
    <w:rsid w:val="002F12E4"/>
    <w:rsid w:val="002F26DD"/>
    <w:rsid w:val="002F4AE0"/>
    <w:rsid w:val="002F4D6D"/>
    <w:rsid w:val="002F5971"/>
    <w:rsid w:val="002F7BC5"/>
    <w:rsid w:val="003018D1"/>
    <w:rsid w:val="00312C2E"/>
    <w:rsid w:val="00312EFF"/>
    <w:rsid w:val="00314D06"/>
    <w:rsid w:val="003167F3"/>
    <w:rsid w:val="00317A00"/>
    <w:rsid w:val="003253B4"/>
    <w:rsid w:val="00332647"/>
    <w:rsid w:val="0033272E"/>
    <w:rsid w:val="00334CC8"/>
    <w:rsid w:val="0033686C"/>
    <w:rsid w:val="00340FF5"/>
    <w:rsid w:val="00341097"/>
    <w:rsid w:val="003433E0"/>
    <w:rsid w:val="00343CC8"/>
    <w:rsid w:val="00343DD6"/>
    <w:rsid w:val="00345941"/>
    <w:rsid w:val="00346F4F"/>
    <w:rsid w:val="0035076D"/>
    <w:rsid w:val="00352862"/>
    <w:rsid w:val="00353FA1"/>
    <w:rsid w:val="00361746"/>
    <w:rsid w:val="00364D1A"/>
    <w:rsid w:val="00366441"/>
    <w:rsid w:val="0037028B"/>
    <w:rsid w:val="0037667C"/>
    <w:rsid w:val="00382149"/>
    <w:rsid w:val="0038250E"/>
    <w:rsid w:val="00382DFC"/>
    <w:rsid w:val="00387ECC"/>
    <w:rsid w:val="003930C6"/>
    <w:rsid w:val="00395325"/>
    <w:rsid w:val="0039668D"/>
    <w:rsid w:val="0039717A"/>
    <w:rsid w:val="003A20B7"/>
    <w:rsid w:val="003A4CE3"/>
    <w:rsid w:val="003B0749"/>
    <w:rsid w:val="003C16B3"/>
    <w:rsid w:val="003C208D"/>
    <w:rsid w:val="003C224C"/>
    <w:rsid w:val="003E52AA"/>
    <w:rsid w:val="003E7EEA"/>
    <w:rsid w:val="003F12CA"/>
    <w:rsid w:val="003F42FF"/>
    <w:rsid w:val="003F6F05"/>
    <w:rsid w:val="003F74AC"/>
    <w:rsid w:val="00402CF9"/>
    <w:rsid w:val="00402DB5"/>
    <w:rsid w:val="00407922"/>
    <w:rsid w:val="00407F28"/>
    <w:rsid w:val="00415786"/>
    <w:rsid w:val="00421368"/>
    <w:rsid w:val="00423B53"/>
    <w:rsid w:val="0042407E"/>
    <w:rsid w:val="00426937"/>
    <w:rsid w:val="00433536"/>
    <w:rsid w:val="004344DB"/>
    <w:rsid w:val="004347C8"/>
    <w:rsid w:val="0043489B"/>
    <w:rsid w:val="00434C28"/>
    <w:rsid w:val="0043749F"/>
    <w:rsid w:val="00442539"/>
    <w:rsid w:val="00442C22"/>
    <w:rsid w:val="00444C7B"/>
    <w:rsid w:val="00445581"/>
    <w:rsid w:val="00447644"/>
    <w:rsid w:val="00447700"/>
    <w:rsid w:val="00452123"/>
    <w:rsid w:val="004537B5"/>
    <w:rsid w:val="004624CD"/>
    <w:rsid w:val="0046550B"/>
    <w:rsid w:val="00466254"/>
    <w:rsid w:val="00466658"/>
    <w:rsid w:val="004722A7"/>
    <w:rsid w:val="00473024"/>
    <w:rsid w:val="00475147"/>
    <w:rsid w:val="00476B1A"/>
    <w:rsid w:val="004813E8"/>
    <w:rsid w:val="00486550"/>
    <w:rsid w:val="004913AF"/>
    <w:rsid w:val="00493498"/>
    <w:rsid w:val="00494809"/>
    <w:rsid w:val="004A0D7E"/>
    <w:rsid w:val="004A22ED"/>
    <w:rsid w:val="004B2A6A"/>
    <w:rsid w:val="004B36BB"/>
    <w:rsid w:val="004C41AF"/>
    <w:rsid w:val="004C4DB4"/>
    <w:rsid w:val="004C51C4"/>
    <w:rsid w:val="004C7101"/>
    <w:rsid w:val="004C729B"/>
    <w:rsid w:val="004C7537"/>
    <w:rsid w:val="004D14A1"/>
    <w:rsid w:val="004D59E7"/>
    <w:rsid w:val="004D6256"/>
    <w:rsid w:val="004E0072"/>
    <w:rsid w:val="004E1327"/>
    <w:rsid w:val="004E62C4"/>
    <w:rsid w:val="004E6637"/>
    <w:rsid w:val="004E6DF7"/>
    <w:rsid w:val="004E7502"/>
    <w:rsid w:val="004F4128"/>
    <w:rsid w:val="004F7188"/>
    <w:rsid w:val="00501678"/>
    <w:rsid w:val="00502BC5"/>
    <w:rsid w:val="005067E8"/>
    <w:rsid w:val="0051062E"/>
    <w:rsid w:val="00510895"/>
    <w:rsid w:val="005109DB"/>
    <w:rsid w:val="00510F43"/>
    <w:rsid w:val="00521399"/>
    <w:rsid w:val="005252DD"/>
    <w:rsid w:val="0052549E"/>
    <w:rsid w:val="00530182"/>
    <w:rsid w:val="005420BD"/>
    <w:rsid w:val="00544CB1"/>
    <w:rsid w:val="00553912"/>
    <w:rsid w:val="00554255"/>
    <w:rsid w:val="005547F3"/>
    <w:rsid w:val="0055568A"/>
    <w:rsid w:val="0056052F"/>
    <w:rsid w:val="005656BA"/>
    <w:rsid w:val="00573B9A"/>
    <w:rsid w:val="005753E2"/>
    <w:rsid w:val="00581EF2"/>
    <w:rsid w:val="00584CE2"/>
    <w:rsid w:val="0058644A"/>
    <w:rsid w:val="0058733D"/>
    <w:rsid w:val="00593FA3"/>
    <w:rsid w:val="005951CE"/>
    <w:rsid w:val="00596C51"/>
    <w:rsid w:val="005A24B3"/>
    <w:rsid w:val="005B0049"/>
    <w:rsid w:val="005B1246"/>
    <w:rsid w:val="005B1B96"/>
    <w:rsid w:val="005B2B76"/>
    <w:rsid w:val="005B3149"/>
    <w:rsid w:val="005B60E6"/>
    <w:rsid w:val="005C3E9A"/>
    <w:rsid w:val="005C3F77"/>
    <w:rsid w:val="005C4C09"/>
    <w:rsid w:val="005C7A86"/>
    <w:rsid w:val="005D2B01"/>
    <w:rsid w:val="005D4A8B"/>
    <w:rsid w:val="005D4B21"/>
    <w:rsid w:val="005D4B4F"/>
    <w:rsid w:val="005E2ACF"/>
    <w:rsid w:val="005E30AA"/>
    <w:rsid w:val="005E7F16"/>
    <w:rsid w:val="005F494D"/>
    <w:rsid w:val="005F55CD"/>
    <w:rsid w:val="00600A32"/>
    <w:rsid w:val="00603385"/>
    <w:rsid w:val="00604137"/>
    <w:rsid w:val="006102EC"/>
    <w:rsid w:val="00612A32"/>
    <w:rsid w:val="006158A6"/>
    <w:rsid w:val="00615925"/>
    <w:rsid w:val="00616AF0"/>
    <w:rsid w:val="0062243D"/>
    <w:rsid w:val="006338F1"/>
    <w:rsid w:val="0063410F"/>
    <w:rsid w:val="00635370"/>
    <w:rsid w:val="0063572E"/>
    <w:rsid w:val="00635C44"/>
    <w:rsid w:val="00636AC1"/>
    <w:rsid w:val="00640A99"/>
    <w:rsid w:val="00641370"/>
    <w:rsid w:val="00647F57"/>
    <w:rsid w:val="006500F6"/>
    <w:rsid w:val="006514A2"/>
    <w:rsid w:val="00653199"/>
    <w:rsid w:val="006550BB"/>
    <w:rsid w:val="006560A3"/>
    <w:rsid w:val="00660935"/>
    <w:rsid w:val="00661E29"/>
    <w:rsid w:val="00666773"/>
    <w:rsid w:val="0067208F"/>
    <w:rsid w:val="00672BDC"/>
    <w:rsid w:val="00680C3E"/>
    <w:rsid w:val="006820D5"/>
    <w:rsid w:val="00683CA2"/>
    <w:rsid w:val="0068498C"/>
    <w:rsid w:val="00685370"/>
    <w:rsid w:val="006856F3"/>
    <w:rsid w:val="006915DE"/>
    <w:rsid w:val="00691FCE"/>
    <w:rsid w:val="006A2D63"/>
    <w:rsid w:val="006A689D"/>
    <w:rsid w:val="006B2CA4"/>
    <w:rsid w:val="006B318C"/>
    <w:rsid w:val="006B34F9"/>
    <w:rsid w:val="006B4A27"/>
    <w:rsid w:val="006B75A2"/>
    <w:rsid w:val="006C46C2"/>
    <w:rsid w:val="006C4886"/>
    <w:rsid w:val="006D2E42"/>
    <w:rsid w:val="006D4F63"/>
    <w:rsid w:val="006D5466"/>
    <w:rsid w:val="006D6398"/>
    <w:rsid w:val="006E2D6B"/>
    <w:rsid w:val="006E79AE"/>
    <w:rsid w:val="006F1710"/>
    <w:rsid w:val="006F2D37"/>
    <w:rsid w:val="006F4532"/>
    <w:rsid w:val="007007A9"/>
    <w:rsid w:val="0070256F"/>
    <w:rsid w:val="00702F1A"/>
    <w:rsid w:val="0070378E"/>
    <w:rsid w:val="00704786"/>
    <w:rsid w:val="00705496"/>
    <w:rsid w:val="00705BB3"/>
    <w:rsid w:val="00705E4F"/>
    <w:rsid w:val="00706D8A"/>
    <w:rsid w:val="00706D92"/>
    <w:rsid w:val="00707086"/>
    <w:rsid w:val="00707A53"/>
    <w:rsid w:val="007111CF"/>
    <w:rsid w:val="00712152"/>
    <w:rsid w:val="00712D7C"/>
    <w:rsid w:val="00713DC3"/>
    <w:rsid w:val="0071428E"/>
    <w:rsid w:val="00715CD5"/>
    <w:rsid w:val="007207F0"/>
    <w:rsid w:val="00721E7B"/>
    <w:rsid w:val="0072727E"/>
    <w:rsid w:val="0072757A"/>
    <w:rsid w:val="00732D76"/>
    <w:rsid w:val="00734DD8"/>
    <w:rsid w:val="00740C52"/>
    <w:rsid w:val="00741C88"/>
    <w:rsid w:val="00742C67"/>
    <w:rsid w:val="00745855"/>
    <w:rsid w:val="007474FC"/>
    <w:rsid w:val="00755A67"/>
    <w:rsid w:val="007563E7"/>
    <w:rsid w:val="007576CD"/>
    <w:rsid w:val="00761B5A"/>
    <w:rsid w:val="007634D8"/>
    <w:rsid w:val="00771E7F"/>
    <w:rsid w:val="00772A28"/>
    <w:rsid w:val="00772F4E"/>
    <w:rsid w:val="007732FB"/>
    <w:rsid w:val="00773819"/>
    <w:rsid w:val="00774EC9"/>
    <w:rsid w:val="00777F91"/>
    <w:rsid w:val="00781A1A"/>
    <w:rsid w:val="00781C60"/>
    <w:rsid w:val="00784728"/>
    <w:rsid w:val="007864AB"/>
    <w:rsid w:val="00787792"/>
    <w:rsid w:val="007939BD"/>
    <w:rsid w:val="00793CC1"/>
    <w:rsid w:val="00794CC1"/>
    <w:rsid w:val="007B0245"/>
    <w:rsid w:val="007B0ED2"/>
    <w:rsid w:val="007B4AC4"/>
    <w:rsid w:val="007C2CCC"/>
    <w:rsid w:val="007C3159"/>
    <w:rsid w:val="007C5AEB"/>
    <w:rsid w:val="007D2271"/>
    <w:rsid w:val="007D4FB9"/>
    <w:rsid w:val="007D5E78"/>
    <w:rsid w:val="007E08B0"/>
    <w:rsid w:val="007E5FD6"/>
    <w:rsid w:val="007F66B2"/>
    <w:rsid w:val="0080237E"/>
    <w:rsid w:val="00802466"/>
    <w:rsid w:val="00802AA9"/>
    <w:rsid w:val="008030F9"/>
    <w:rsid w:val="008036FB"/>
    <w:rsid w:val="00803898"/>
    <w:rsid w:val="00805881"/>
    <w:rsid w:val="00817177"/>
    <w:rsid w:val="00817A53"/>
    <w:rsid w:val="00833E38"/>
    <w:rsid w:val="00835520"/>
    <w:rsid w:val="00836A95"/>
    <w:rsid w:val="00840756"/>
    <w:rsid w:val="0084111C"/>
    <w:rsid w:val="00841FCF"/>
    <w:rsid w:val="00843F4E"/>
    <w:rsid w:val="008504B4"/>
    <w:rsid w:val="00851374"/>
    <w:rsid w:val="00854250"/>
    <w:rsid w:val="008551CC"/>
    <w:rsid w:val="00855C17"/>
    <w:rsid w:val="00860627"/>
    <w:rsid w:val="00861B57"/>
    <w:rsid w:val="008646FB"/>
    <w:rsid w:val="00865B59"/>
    <w:rsid w:val="00865EF6"/>
    <w:rsid w:val="00865F6A"/>
    <w:rsid w:val="0087341C"/>
    <w:rsid w:val="00874C12"/>
    <w:rsid w:val="00883E2F"/>
    <w:rsid w:val="00885E04"/>
    <w:rsid w:val="008903B9"/>
    <w:rsid w:val="008905F4"/>
    <w:rsid w:val="008909A3"/>
    <w:rsid w:val="00891CC1"/>
    <w:rsid w:val="00892BAE"/>
    <w:rsid w:val="00896909"/>
    <w:rsid w:val="00896C4B"/>
    <w:rsid w:val="008A77CF"/>
    <w:rsid w:val="008B0026"/>
    <w:rsid w:val="008B03DA"/>
    <w:rsid w:val="008B5C55"/>
    <w:rsid w:val="008B67E9"/>
    <w:rsid w:val="008B6B62"/>
    <w:rsid w:val="008D0CF8"/>
    <w:rsid w:val="008D1F2E"/>
    <w:rsid w:val="008D4352"/>
    <w:rsid w:val="008D64FB"/>
    <w:rsid w:val="008E110E"/>
    <w:rsid w:val="008E2921"/>
    <w:rsid w:val="008E60D2"/>
    <w:rsid w:val="008F1683"/>
    <w:rsid w:val="008F3E43"/>
    <w:rsid w:val="00902465"/>
    <w:rsid w:val="00910C9F"/>
    <w:rsid w:val="00910E70"/>
    <w:rsid w:val="00913A2A"/>
    <w:rsid w:val="00914828"/>
    <w:rsid w:val="009149CC"/>
    <w:rsid w:val="00915FE3"/>
    <w:rsid w:val="00916AD0"/>
    <w:rsid w:val="0091745A"/>
    <w:rsid w:val="0092048A"/>
    <w:rsid w:val="009323FF"/>
    <w:rsid w:val="00936927"/>
    <w:rsid w:val="009436AC"/>
    <w:rsid w:val="00950B91"/>
    <w:rsid w:val="00956B8C"/>
    <w:rsid w:val="00956C79"/>
    <w:rsid w:val="009654B2"/>
    <w:rsid w:val="009674D7"/>
    <w:rsid w:val="0097300C"/>
    <w:rsid w:val="00975C42"/>
    <w:rsid w:val="00976B10"/>
    <w:rsid w:val="00977DD1"/>
    <w:rsid w:val="009814A3"/>
    <w:rsid w:val="00984319"/>
    <w:rsid w:val="00987501"/>
    <w:rsid w:val="009A0A97"/>
    <w:rsid w:val="009A1C27"/>
    <w:rsid w:val="009A2CA4"/>
    <w:rsid w:val="009B3600"/>
    <w:rsid w:val="009B424B"/>
    <w:rsid w:val="009D4361"/>
    <w:rsid w:val="009D538A"/>
    <w:rsid w:val="009E2F23"/>
    <w:rsid w:val="009E42FC"/>
    <w:rsid w:val="009E6622"/>
    <w:rsid w:val="009E6D86"/>
    <w:rsid w:val="009F0BE9"/>
    <w:rsid w:val="009F0D57"/>
    <w:rsid w:val="009F276F"/>
    <w:rsid w:val="009F6CF6"/>
    <w:rsid w:val="009F7ABE"/>
    <w:rsid w:val="009F7E2B"/>
    <w:rsid w:val="00A019DB"/>
    <w:rsid w:val="00A063E1"/>
    <w:rsid w:val="00A15C97"/>
    <w:rsid w:val="00A20B83"/>
    <w:rsid w:val="00A21FF7"/>
    <w:rsid w:val="00A231FD"/>
    <w:rsid w:val="00A259B1"/>
    <w:rsid w:val="00A26DE8"/>
    <w:rsid w:val="00A303EC"/>
    <w:rsid w:val="00A314E2"/>
    <w:rsid w:val="00A3282D"/>
    <w:rsid w:val="00A32C60"/>
    <w:rsid w:val="00A345BA"/>
    <w:rsid w:val="00A36EB3"/>
    <w:rsid w:val="00A454C2"/>
    <w:rsid w:val="00A46CD8"/>
    <w:rsid w:val="00A512BA"/>
    <w:rsid w:val="00A54510"/>
    <w:rsid w:val="00A55BA1"/>
    <w:rsid w:val="00A61414"/>
    <w:rsid w:val="00A62122"/>
    <w:rsid w:val="00A65BE9"/>
    <w:rsid w:val="00A662A9"/>
    <w:rsid w:val="00A67B8D"/>
    <w:rsid w:val="00A67D7C"/>
    <w:rsid w:val="00A75E9D"/>
    <w:rsid w:val="00A769A2"/>
    <w:rsid w:val="00A826F8"/>
    <w:rsid w:val="00A82B8D"/>
    <w:rsid w:val="00A84210"/>
    <w:rsid w:val="00A91DC6"/>
    <w:rsid w:val="00AA0CE4"/>
    <w:rsid w:val="00AA36E3"/>
    <w:rsid w:val="00AA6D06"/>
    <w:rsid w:val="00AA7CF4"/>
    <w:rsid w:val="00AB1A8C"/>
    <w:rsid w:val="00AB4842"/>
    <w:rsid w:val="00AB6957"/>
    <w:rsid w:val="00AC085B"/>
    <w:rsid w:val="00AD0359"/>
    <w:rsid w:val="00AD1010"/>
    <w:rsid w:val="00AD2260"/>
    <w:rsid w:val="00AD325E"/>
    <w:rsid w:val="00AD3B3B"/>
    <w:rsid w:val="00AD55C1"/>
    <w:rsid w:val="00AD6426"/>
    <w:rsid w:val="00AD6477"/>
    <w:rsid w:val="00AE3C8D"/>
    <w:rsid w:val="00AE7206"/>
    <w:rsid w:val="00AF67C8"/>
    <w:rsid w:val="00B030C8"/>
    <w:rsid w:val="00B061CF"/>
    <w:rsid w:val="00B0636E"/>
    <w:rsid w:val="00B10C3F"/>
    <w:rsid w:val="00B14947"/>
    <w:rsid w:val="00B178E9"/>
    <w:rsid w:val="00B17C89"/>
    <w:rsid w:val="00B17E03"/>
    <w:rsid w:val="00B21996"/>
    <w:rsid w:val="00B24E6A"/>
    <w:rsid w:val="00B25BE9"/>
    <w:rsid w:val="00B3611E"/>
    <w:rsid w:val="00B36AA7"/>
    <w:rsid w:val="00B36BAE"/>
    <w:rsid w:val="00B403A9"/>
    <w:rsid w:val="00B45CDA"/>
    <w:rsid w:val="00B46CB6"/>
    <w:rsid w:val="00B517CE"/>
    <w:rsid w:val="00B5258C"/>
    <w:rsid w:val="00B55C2F"/>
    <w:rsid w:val="00B6005E"/>
    <w:rsid w:val="00B619D1"/>
    <w:rsid w:val="00B6497F"/>
    <w:rsid w:val="00B668CF"/>
    <w:rsid w:val="00B67AFA"/>
    <w:rsid w:val="00B7107F"/>
    <w:rsid w:val="00B71D0D"/>
    <w:rsid w:val="00B73FA7"/>
    <w:rsid w:val="00B7526D"/>
    <w:rsid w:val="00B80742"/>
    <w:rsid w:val="00B81163"/>
    <w:rsid w:val="00B812F4"/>
    <w:rsid w:val="00B8290F"/>
    <w:rsid w:val="00B82B08"/>
    <w:rsid w:val="00B83463"/>
    <w:rsid w:val="00B8358D"/>
    <w:rsid w:val="00B8384C"/>
    <w:rsid w:val="00B8758A"/>
    <w:rsid w:val="00B9033F"/>
    <w:rsid w:val="00B90DDA"/>
    <w:rsid w:val="00B96169"/>
    <w:rsid w:val="00BA1792"/>
    <w:rsid w:val="00BA2518"/>
    <w:rsid w:val="00BA4B46"/>
    <w:rsid w:val="00BB1AAD"/>
    <w:rsid w:val="00BB518F"/>
    <w:rsid w:val="00BB58B4"/>
    <w:rsid w:val="00BB5C31"/>
    <w:rsid w:val="00BB7229"/>
    <w:rsid w:val="00BB733B"/>
    <w:rsid w:val="00BB7FE9"/>
    <w:rsid w:val="00BC0016"/>
    <w:rsid w:val="00BC0E6B"/>
    <w:rsid w:val="00BC329D"/>
    <w:rsid w:val="00BC41BF"/>
    <w:rsid w:val="00BC6E60"/>
    <w:rsid w:val="00BC7195"/>
    <w:rsid w:val="00BD1114"/>
    <w:rsid w:val="00BD3E5A"/>
    <w:rsid w:val="00BD54A6"/>
    <w:rsid w:val="00BD5C2B"/>
    <w:rsid w:val="00BD69F9"/>
    <w:rsid w:val="00BD7622"/>
    <w:rsid w:val="00BE52E9"/>
    <w:rsid w:val="00BE5BA1"/>
    <w:rsid w:val="00BE61DD"/>
    <w:rsid w:val="00BE6918"/>
    <w:rsid w:val="00BE70E8"/>
    <w:rsid w:val="00BE7DF5"/>
    <w:rsid w:val="00BF0A87"/>
    <w:rsid w:val="00BF2B53"/>
    <w:rsid w:val="00BF427F"/>
    <w:rsid w:val="00BF56D9"/>
    <w:rsid w:val="00C01C54"/>
    <w:rsid w:val="00C03170"/>
    <w:rsid w:val="00C04C57"/>
    <w:rsid w:val="00C11A84"/>
    <w:rsid w:val="00C161A2"/>
    <w:rsid w:val="00C17582"/>
    <w:rsid w:val="00C20C96"/>
    <w:rsid w:val="00C22C1B"/>
    <w:rsid w:val="00C2321E"/>
    <w:rsid w:val="00C261D9"/>
    <w:rsid w:val="00C275B4"/>
    <w:rsid w:val="00C30CE0"/>
    <w:rsid w:val="00C32335"/>
    <w:rsid w:val="00C32F90"/>
    <w:rsid w:val="00C35A45"/>
    <w:rsid w:val="00C42D28"/>
    <w:rsid w:val="00C44CB9"/>
    <w:rsid w:val="00C44D60"/>
    <w:rsid w:val="00C4757E"/>
    <w:rsid w:val="00C523CC"/>
    <w:rsid w:val="00C52A4D"/>
    <w:rsid w:val="00C52ACD"/>
    <w:rsid w:val="00C52BDF"/>
    <w:rsid w:val="00C65992"/>
    <w:rsid w:val="00C65FAB"/>
    <w:rsid w:val="00C7230A"/>
    <w:rsid w:val="00C74ED8"/>
    <w:rsid w:val="00C764FA"/>
    <w:rsid w:val="00C80313"/>
    <w:rsid w:val="00C8080B"/>
    <w:rsid w:val="00C83763"/>
    <w:rsid w:val="00C84152"/>
    <w:rsid w:val="00C86AA7"/>
    <w:rsid w:val="00C92642"/>
    <w:rsid w:val="00C92D73"/>
    <w:rsid w:val="00C93B79"/>
    <w:rsid w:val="00C962C3"/>
    <w:rsid w:val="00CA26AA"/>
    <w:rsid w:val="00CA7B48"/>
    <w:rsid w:val="00CB02AC"/>
    <w:rsid w:val="00CB3EC0"/>
    <w:rsid w:val="00CB4BCA"/>
    <w:rsid w:val="00CC1CFD"/>
    <w:rsid w:val="00CC4398"/>
    <w:rsid w:val="00CC46B6"/>
    <w:rsid w:val="00CC543A"/>
    <w:rsid w:val="00CC730E"/>
    <w:rsid w:val="00CD0ABA"/>
    <w:rsid w:val="00CD0B8D"/>
    <w:rsid w:val="00CD0ECC"/>
    <w:rsid w:val="00CD12DA"/>
    <w:rsid w:val="00CD2BD3"/>
    <w:rsid w:val="00CD3043"/>
    <w:rsid w:val="00CD4803"/>
    <w:rsid w:val="00CD7385"/>
    <w:rsid w:val="00CD7CBE"/>
    <w:rsid w:val="00CE15B5"/>
    <w:rsid w:val="00CE1BF8"/>
    <w:rsid w:val="00CE1C56"/>
    <w:rsid w:val="00CE5494"/>
    <w:rsid w:val="00CF65E9"/>
    <w:rsid w:val="00CF6656"/>
    <w:rsid w:val="00D01DF0"/>
    <w:rsid w:val="00D024F0"/>
    <w:rsid w:val="00D02C85"/>
    <w:rsid w:val="00D064D7"/>
    <w:rsid w:val="00D12B04"/>
    <w:rsid w:val="00D13FA6"/>
    <w:rsid w:val="00D1672F"/>
    <w:rsid w:val="00D21D9D"/>
    <w:rsid w:val="00D23B7C"/>
    <w:rsid w:val="00D26AA2"/>
    <w:rsid w:val="00D30C66"/>
    <w:rsid w:val="00D41BE3"/>
    <w:rsid w:val="00D46485"/>
    <w:rsid w:val="00D46C7A"/>
    <w:rsid w:val="00D50CE9"/>
    <w:rsid w:val="00D52023"/>
    <w:rsid w:val="00D527D3"/>
    <w:rsid w:val="00D555A4"/>
    <w:rsid w:val="00D5575A"/>
    <w:rsid w:val="00D56323"/>
    <w:rsid w:val="00D62248"/>
    <w:rsid w:val="00D626C5"/>
    <w:rsid w:val="00D63D45"/>
    <w:rsid w:val="00D64213"/>
    <w:rsid w:val="00D705E6"/>
    <w:rsid w:val="00D72346"/>
    <w:rsid w:val="00D72406"/>
    <w:rsid w:val="00D73147"/>
    <w:rsid w:val="00D7434E"/>
    <w:rsid w:val="00D74EAC"/>
    <w:rsid w:val="00D756CC"/>
    <w:rsid w:val="00D75B7F"/>
    <w:rsid w:val="00D75ED5"/>
    <w:rsid w:val="00D765DC"/>
    <w:rsid w:val="00D77471"/>
    <w:rsid w:val="00D7782B"/>
    <w:rsid w:val="00D81A33"/>
    <w:rsid w:val="00D845C9"/>
    <w:rsid w:val="00D8554C"/>
    <w:rsid w:val="00D863B4"/>
    <w:rsid w:val="00D90926"/>
    <w:rsid w:val="00D94ADF"/>
    <w:rsid w:val="00D95DCF"/>
    <w:rsid w:val="00D96EEA"/>
    <w:rsid w:val="00DA24C2"/>
    <w:rsid w:val="00DA3216"/>
    <w:rsid w:val="00DA6685"/>
    <w:rsid w:val="00DA77DD"/>
    <w:rsid w:val="00DB031B"/>
    <w:rsid w:val="00DB1F24"/>
    <w:rsid w:val="00DB238B"/>
    <w:rsid w:val="00DB2870"/>
    <w:rsid w:val="00DB54BE"/>
    <w:rsid w:val="00DC041A"/>
    <w:rsid w:val="00DD2CEC"/>
    <w:rsid w:val="00DD69E9"/>
    <w:rsid w:val="00DE131D"/>
    <w:rsid w:val="00DE4B31"/>
    <w:rsid w:val="00DE4E8B"/>
    <w:rsid w:val="00DF1110"/>
    <w:rsid w:val="00DF7136"/>
    <w:rsid w:val="00E01FCA"/>
    <w:rsid w:val="00E04712"/>
    <w:rsid w:val="00E04715"/>
    <w:rsid w:val="00E04E2E"/>
    <w:rsid w:val="00E05798"/>
    <w:rsid w:val="00E10D2D"/>
    <w:rsid w:val="00E16DC7"/>
    <w:rsid w:val="00E2267E"/>
    <w:rsid w:val="00E22FDD"/>
    <w:rsid w:val="00E231CF"/>
    <w:rsid w:val="00E244A0"/>
    <w:rsid w:val="00E24F84"/>
    <w:rsid w:val="00E27860"/>
    <w:rsid w:val="00E3045A"/>
    <w:rsid w:val="00E306D0"/>
    <w:rsid w:val="00E33858"/>
    <w:rsid w:val="00E375DE"/>
    <w:rsid w:val="00E378BF"/>
    <w:rsid w:val="00E44199"/>
    <w:rsid w:val="00E46103"/>
    <w:rsid w:val="00E4694E"/>
    <w:rsid w:val="00E50B92"/>
    <w:rsid w:val="00E615AF"/>
    <w:rsid w:val="00E6417B"/>
    <w:rsid w:val="00E7085F"/>
    <w:rsid w:val="00E716AF"/>
    <w:rsid w:val="00E727D5"/>
    <w:rsid w:val="00E72C3E"/>
    <w:rsid w:val="00E76B54"/>
    <w:rsid w:val="00E911E8"/>
    <w:rsid w:val="00E93226"/>
    <w:rsid w:val="00E965D4"/>
    <w:rsid w:val="00E9676F"/>
    <w:rsid w:val="00EA0EC3"/>
    <w:rsid w:val="00EA13BA"/>
    <w:rsid w:val="00EA3215"/>
    <w:rsid w:val="00EA74D2"/>
    <w:rsid w:val="00EA7B1D"/>
    <w:rsid w:val="00EB53AB"/>
    <w:rsid w:val="00EB7856"/>
    <w:rsid w:val="00EC2657"/>
    <w:rsid w:val="00EC4166"/>
    <w:rsid w:val="00EC4BA4"/>
    <w:rsid w:val="00ED00C6"/>
    <w:rsid w:val="00ED7877"/>
    <w:rsid w:val="00EE258B"/>
    <w:rsid w:val="00EE2DAB"/>
    <w:rsid w:val="00EF58F1"/>
    <w:rsid w:val="00EF6E91"/>
    <w:rsid w:val="00EF79C9"/>
    <w:rsid w:val="00F041D3"/>
    <w:rsid w:val="00F047D8"/>
    <w:rsid w:val="00F049F3"/>
    <w:rsid w:val="00F10A3A"/>
    <w:rsid w:val="00F22C0B"/>
    <w:rsid w:val="00F2301D"/>
    <w:rsid w:val="00F231F4"/>
    <w:rsid w:val="00F23D8B"/>
    <w:rsid w:val="00F30253"/>
    <w:rsid w:val="00F31951"/>
    <w:rsid w:val="00F355EB"/>
    <w:rsid w:val="00F36524"/>
    <w:rsid w:val="00F374F1"/>
    <w:rsid w:val="00F408EF"/>
    <w:rsid w:val="00F43857"/>
    <w:rsid w:val="00F47A16"/>
    <w:rsid w:val="00F54099"/>
    <w:rsid w:val="00F55F6A"/>
    <w:rsid w:val="00F60C7A"/>
    <w:rsid w:val="00F619F6"/>
    <w:rsid w:val="00F63B81"/>
    <w:rsid w:val="00F664B4"/>
    <w:rsid w:val="00F66C01"/>
    <w:rsid w:val="00F70C78"/>
    <w:rsid w:val="00F76671"/>
    <w:rsid w:val="00F767ED"/>
    <w:rsid w:val="00F8329A"/>
    <w:rsid w:val="00F83DF2"/>
    <w:rsid w:val="00F84204"/>
    <w:rsid w:val="00F84D1E"/>
    <w:rsid w:val="00F8537C"/>
    <w:rsid w:val="00F85AF0"/>
    <w:rsid w:val="00F8636F"/>
    <w:rsid w:val="00F86CE1"/>
    <w:rsid w:val="00F93FD2"/>
    <w:rsid w:val="00F96003"/>
    <w:rsid w:val="00F97189"/>
    <w:rsid w:val="00FA0EE4"/>
    <w:rsid w:val="00FA4D54"/>
    <w:rsid w:val="00FA5269"/>
    <w:rsid w:val="00FB0972"/>
    <w:rsid w:val="00FB13D9"/>
    <w:rsid w:val="00FB28DC"/>
    <w:rsid w:val="00FB3EC0"/>
    <w:rsid w:val="00FB5602"/>
    <w:rsid w:val="00FB5910"/>
    <w:rsid w:val="00FC5816"/>
    <w:rsid w:val="00FC653A"/>
    <w:rsid w:val="00FD6E6C"/>
    <w:rsid w:val="00FE07B8"/>
    <w:rsid w:val="00FE44C3"/>
    <w:rsid w:val="00FE5670"/>
    <w:rsid w:val="00FE6E13"/>
    <w:rsid w:val="00FF092E"/>
    <w:rsid w:val="00FF63E9"/>
    <w:rsid w:val="00FF6DE8"/>
    <w:rsid w:val="00FF6E44"/>
    <w:rsid w:val="00FF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C86"/>
    <w:rPr>
      <w:rFonts w:ascii="Times New Roman" w:hAnsi="Times New Roman"/>
      <w:sz w:val="24"/>
      <w:szCs w:val="24"/>
    </w:rPr>
  </w:style>
  <w:style w:type="paragraph" w:styleId="Kop2">
    <w:name w:val="heading 2"/>
    <w:basedOn w:val="Standaard"/>
    <w:link w:val="Kop2Char"/>
    <w:uiPriority w:val="9"/>
    <w:semiHidden/>
    <w:unhideWhenUsed/>
    <w:qFormat/>
    <w:rsid w:val="006C4886"/>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116C86"/>
    <w:pPr>
      <w:autoSpaceDE w:val="0"/>
      <w:autoSpaceDN w:val="0"/>
      <w:adjustRightInd w:val="0"/>
    </w:pPr>
    <w:rPr>
      <w:rFonts w:ascii="EUAlbertina" w:hAnsi="EUAlbertina" w:cs="EUAlbertina"/>
      <w:color w:val="000000"/>
      <w:sz w:val="24"/>
      <w:szCs w:val="24"/>
    </w:rPr>
  </w:style>
  <w:style w:type="paragraph" w:customStyle="1" w:styleId="Parlementair">
    <w:name w:val="Parlementair"/>
    <w:uiPriority w:val="99"/>
    <w:rsid w:val="00116C86"/>
    <w:pPr>
      <w:widowControl w:val="0"/>
      <w:autoSpaceDE w:val="0"/>
      <w:autoSpaceDN w:val="0"/>
      <w:adjustRightInd w:val="0"/>
      <w:spacing w:after="240"/>
      <w:jc w:val="right"/>
    </w:pPr>
    <w:rPr>
      <w:rFonts w:ascii="Arial" w:hAnsi="Arial" w:cs="Arial"/>
      <w:i/>
      <w:iCs/>
      <w:sz w:val="16"/>
      <w:szCs w:val="16"/>
    </w:rPr>
  </w:style>
  <w:style w:type="paragraph" w:customStyle="1" w:styleId="Plattetekstrechts">
    <w:name w:val="Platte tekst (rechts)"/>
    <w:uiPriority w:val="99"/>
    <w:rsid w:val="00116C86"/>
    <w:pPr>
      <w:widowControl w:val="0"/>
      <w:autoSpaceDE w:val="0"/>
      <w:autoSpaceDN w:val="0"/>
      <w:adjustRightInd w:val="0"/>
      <w:jc w:val="right"/>
    </w:pPr>
    <w:rPr>
      <w:rFonts w:ascii="Arial" w:hAnsi="Arial" w:cs="Arial"/>
    </w:rPr>
  </w:style>
  <w:style w:type="character" w:customStyle="1" w:styleId="Nadrukvet">
    <w:name w:val="Nadruk (vet)"/>
    <w:uiPriority w:val="99"/>
    <w:rsid w:val="00116C86"/>
    <w:rPr>
      <w:b/>
      <w:bCs/>
    </w:rPr>
  </w:style>
  <w:style w:type="paragraph" w:customStyle="1" w:styleId="Kopartikel">
    <w:name w:val="Kop (artikel)"/>
    <w:uiPriority w:val="99"/>
    <w:rsid w:val="00116C86"/>
    <w:pPr>
      <w:widowControl w:val="0"/>
      <w:autoSpaceDE w:val="0"/>
      <w:autoSpaceDN w:val="0"/>
      <w:adjustRightInd w:val="0"/>
      <w:spacing w:after="240"/>
    </w:pPr>
    <w:rPr>
      <w:rFonts w:ascii="Arial" w:hAnsi="Arial" w:cs="Arial"/>
      <w:b/>
      <w:bCs/>
    </w:rPr>
  </w:style>
  <w:style w:type="paragraph" w:customStyle="1" w:styleId="Onderdeelvaneenlijstdiepte1">
    <w:name w:val="Onderdeel van een lijst (diepte 1)"/>
    <w:rsid w:val="00116C86"/>
    <w:pPr>
      <w:widowControl w:val="0"/>
      <w:autoSpaceDE w:val="0"/>
      <w:autoSpaceDN w:val="0"/>
      <w:adjustRightInd w:val="0"/>
      <w:ind w:left="960" w:hanging="320"/>
    </w:pPr>
    <w:rPr>
      <w:rFonts w:ascii="Arial" w:hAnsi="Arial" w:cs="Arial"/>
    </w:rPr>
  </w:style>
  <w:style w:type="character" w:customStyle="1" w:styleId="Nadrukcursief">
    <w:name w:val="Nadruk (cursief)"/>
    <w:uiPriority w:val="99"/>
    <w:rsid w:val="00116C86"/>
    <w:rPr>
      <w:i/>
      <w:iCs/>
    </w:rPr>
  </w:style>
  <w:style w:type="paragraph" w:customStyle="1" w:styleId="Paragraafineenlijstdiepte0">
    <w:name w:val="Paragraaf in een lijst (diepte 0)"/>
    <w:rsid w:val="00116C86"/>
    <w:pPr>
      <w:widowControl w:val="0"/>
      <w:autoSpaceDE w:val="0"/>
      <w:autoSpaceDN w:val="0"/>
      <w:adjustRightInd w:val="0"/>
      <w:ind w:left="640"/>
    </w:pPr>
    <w:rPr>
      <w:rFonts w:ascii="Arial" w:hAnsi="Arial" w:cs="Arial"/>
    </w:rPr>
  </w:style>
  <w:style w:type="paragraph" w:customStyle="1" w:styleId="CM48">
    <w:name w:val="CM48"/>
    <w:basedOn w:val="Default"/>
    <w:next w:val="Default"/>
    <w:uiPriority w:val="99"/>
    <w:rsid w:val="00116C86"/>
    <w:pPr>
      <w:widowControl w:val="0"/>
      <w:spacing w:after="213"/>
    </w:pPr>
    <w:rPr>
      <w:rFonts w:ascii="EDGAG K+ Univers" w:hAnsi="EDGAG K+ Univers" w:cs="EDGAG K+ Univers"/>
      <w:color w:val="auto"/>
    </w:rPr>
  </w:style>
  <w:style w:type="paragraph" w:styleId="Koptekst">
    <w:name w:val="header"/>
    <w:basedOn w:val="Standaard"/>
    <w:link w:val="KoptekstChar"/>
    <w:uiPriority w:val="99"/>
    <w:rsid w:val="00116C86"/>
    <w:pPr>
      <w:tabs>
        <w:tab w:val="center" w:pos="4536"/>
        <w:tab w:val="right" w:pos="9072"/>
      </w:tabs>
    </w:pPr>
  </w:style>
  <w:style w:type="character" w:customStyle="1" w:styleId="KoptekstChar">
    <w:name w:val="Koptekst Char"/>
    <w:basedOn w:val="Standaardalinea-lettertype"/>
    <w:link w:val="Koptekst"/>
    <w:uiPriority w:val="99"/>
    <w:rsid w:val="00116C86"/>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116C86"/>
    <w:pPr>
      <w:tabs>
        <w:tab w:val="center" w:pos="4536"/>
        <w:tab w:val="right" w:pos="9072"/>
      </w:tabs>
    </w:pPr>
  </w:style>
  <w:style w:type="character" w:customStyle="1" w:styleId="VoettekstChar">
    <w:name w:val="Voettekst Char"/>
    <w:basedOn w:val="Standaardalinea-lettertype"/>
    <w:link w:val="Voettekst"/>
    <w:uiPriority w:val="99"/>
    <w:rsid w:val="00116C86"/>
    <w:rPr>
      <w:rFonts w:ascii="Times New Roman" w:eastAsia="Calibri" w:hAnsi="Times New Roman" w:cs="Times New Roman"/>
      <w:sz w:val="24"/>
      <w:szCs w:val="24"/>
      <w:lang w:eastAsia="nl-NL"/>
    </w:rPr>
  </w:style>
  <w:style w:type="character" w:styleId="Verwijzingopmerking">
    <w:name w:val="annotation reference"/>
    <w:basedOn w:val="Standaardalinea-lettertype"/>
    <w:uiPriority w:val="99"/>
    <w:semiHidden/>
    <w:unhideWhenUsed/>
    <w:rsid w:val="00002BB7"/>
    <w:rPr>
      <w:sz w:val="16"/>
      <w:szCs w:val="16"/>
    </w:rPr>
  </w:style>
  <w:style w:type="paragraph" w:styleId="Tekstopmerking">
    <w:name w:val="annotation text"/>
    <w:basedOn w:val="Standaard"/>
    <w:link w:val="TekstopmerkingChar"/>
    <w:uiPriority w:val="99"/>
    <w:unhideWhenUsed/>
    <w:rsid w:val="00002BB7"/>
    <w:rPr>
      <w:sz w:val="20"/>
      <w:szCs w:val="20"/>
    </w:rPr>
  </w:style>
  <w:style w:type="character" w:customStyle="1" w:styleId="TekstopmerkingChar">
    <w:name w:val="Tekst opmerking Char"/>
    <w:basedOn w:val="Standaardalinea-lettertype"/>
    <w:link w:val="Tekstopmerking"/>
    <w:uiPriority w:val="99"/>
    <w:rsid w:val="00002BB7"/>
    <w:rPr>
      <w:rFonts w:ascii="Times New Roman" w:hAnsi="Times New Roman"/>
    </w:rPr>
  </w:style>
  <w:style w:type="paragraph" w:styleId="Onderwerpvanopmerking">
    <w:name w:val="annotation subject"/>
    <w:basedOn w:val="Tekstopmerking"/>
    <w:next w:val="Tekstopmerking"/>
    <w:link w:val="OnderwerpvanopmerkingChar"/>
    <w:uiPriority w:val="99"/>
    <w:semiHidden/>
    <w:unhideWhenUsed/>
    <w:rsid w:val="00002BB7"/>
    <w:rPr>
      <w:b/>
      <w:bCs/>
    </w:rPr>
  </w:style>
  <w:style w:type="character" w:customStyle="1" w:styleId="OnderwerpvanopmerkingChar">
    <w:name w:val="Onderwerp van opmerking Char"/>
    <w:basedOn w:val="TekstopmerkingChar"/>
    <w:link w:val="Onderwerpvanopmerking"/>
    <w:uiPriority w:val="99"/>
    <w:semiHidden/>
    <w:rsid w:val="00002BB7"/>
    <w:rPr>
      <w:rFonts w:ascii="Times New Roman" w:hAnsi="Times New Roman"/>
      <w:b/>
      <w:bCs/>
    </w:rPr>
  </w:style>
  <w:style w:type="paragraph" w:styleId="Ballontekst">
    <w:name w:val="Balloon Text"/>
    <w:basedOn w:val="Standaard"/>
    <w:link w:val="BallontekstChar"/>
    <w:uiPriority w:val="99"/>
    <w:semiHidden/>
    <w:unhideWhenUsed/>
    <w:rsid w:val="00002BB7"/>
    <w:rPr>
      <w:rFonts w:ascii="Tahoma" w:hAnsi="Tahoma" w:cs="Tahoma"/>
      <w:sz w:val="16"/>
      <w:szCs w:val="16"/>
    </w:rPr>
  </w:style>
  <w:style w:type="character" w:customStyle="1" w:styleId="BallontekstChar">
    <w:name w:val="Ballontekst Char"/>
    <w:basedOn w:val="Standaardalinea-lettertype"/>
    <w:link w:val="Ballontekst"/>
    <w:uiPriority w:val="99"/>
    <w:semiHidden/>
    <w:rsid w:val="00002BB7"/>
    <w:rPr>
      <w:rFonts w:ascii="Tahoma" w:hAnsi="Tahoma" w:cs="Tahoma"/>
      <w:sz w:val="16"/>
      <w:szCs w:val="16"/>
    </w:rPr>
  </w:style>
  <w:style w:type="character" w:customStyle="1" w:styleId="Huisstijl-GegevenCharChar">
    <w:name w:val="Huisstijl-Gegeven Char Char"/>
    <w:basedOn w:val="Standaardalinea-lettertype"/>
    <w:rsid w:val="00A82B8D"/>
    <w:rPr>
      <w:rFonts w:ascii="Verdana" w:hAnsi="Verdana"/>
      <w:noProof/>
      <w:sz w:val="13"/>
      <w:szCs w:val="24"/>
      <w:lang w:val="nl-NL" w:eastAsia="nl-NL" w:bidi="ar-SA"/>
    </w:rPr>
  </w:style>
  <w:style w:type="paragraph" w:customStyle="1" w:styleId="wat1">
    <w:name w:val="wat1"/>
    <w:basedOn w:val="Standaard"/>
    <w:rsid w:val="001422F2"/>
    <w:pPr>
      <w:spacing w:before="100" w:beforeAutospacing="1" w:after="240"/>
    </w:pPr>
    <w:rPr>
      <w:rFonts w:eastAsia="Times New Roman"/>
    </w:rPr>
  </w:style>
  <w:style w:type="character" w:customStyle="1" w:styleId="nr">
    <w:name w:val="nr"/>
    <w:basedOn w:val="Standaardalinea-lettertype"/>
    <w:rsid w:val="001422F2"/>
  </w:style>
  <w:style w:type="character" w:customStyle="1" w:styleId="Kop2Char">
    <w:name w:val="Kop 2 Char"/>
    <w:basedOn w:val="Standaardalinea-lettertype"/>
    <w:link w:val="Kop2"/>
    <w:uiPriority w:val="9"/>
    <w:semiHidden/>
    <w:rsid w:val="006C4886"/>
    <w:rPr>
      <w:rFonts w:ascii="Times New Roman" w:eastAsia="Calibri" w:hAnsi="Times New Roman"/>
      <w:b/>
      <w:bCs/>
      <w:sz w:val="36"/>
      <w:szCs w:val="36"/>
    </w:rPr>
  </w:style>
  <w:style w:type="paragraph" w:customStyle="1" w:styleId="lid">
    <w:name w:val="lid"/>
    <w:basedOn w:val="Standaard"/>
    <w:rsid w:val="00843F4E"/>
    <w:pPr>
      <w:spacing w:before="100" w:beforeAutospacing="1" w:after="100" w:afterAutospacing="1"/>
    </w:pPr>
    <w:rPr>
      <w:rFonts w:eastAsia="Times New Roman"/>
    </w:rPr>
  </w:style>
  <w:style w:type="paragraph" w:styleId="Voetnoottekst">
    <w:name w:val="footnote text"/>
    <w:basedOn w:val="Standaard"/>
    <w:link w:val="VoetnoottekstChar"/>
    <w:uiPriority w:val="99"/>
    <w:unhideWhenUsed/>
    <w:rsid w:val="00262FA8"/>
    <w:rPr>
      <w:sz w:val="20"/>
      <w:szCs w:val="20"/>
    </w:rPr>
  </w:style>
  <w:style w:type="character" w:customStyle="1" w:styleId="VoetnoottekstChar">
    <w:name w:val="Voetnoottekst Char"/>
    <w:basedOn w:val="Standaardalinea-lettertype"/>
    <w:link w:val="Voetnoottekst"/>
    <w:uiPriority w:val="99"/>
    <w:rsid w:val="00262FA8"/>
    <w:rPr>
      <w:rFonts w:ascii="Times New Roman" w:hAnsi="Times New Roman"/>
    </w:rPr>
  </w:style>
  <w:style w:type="character" w:styleId="Voetnootmarkering">
    <w:name w:val="footnote reference"/>
    <w:basedOn w:val="Standaardalinea-lettertype"/>
    <w:uiPriority w:val="99"/>
    <w:unhideWhenUsed/>
    <w:rsid w:val="00262FA8"/>
    <w:rPr>
      <w:vertAlign w:val="superscript"/>
    </w:rPr>
  </w:style>
  <w:style w:type="table" w:styleId="Tabelraster">
    <w:name w:val="Table Grid"/>
    <w:basedOn w:val="Standaardtabel"/>
    <w:uiPriority w:val="59"/>
    <w:rsid w:val="009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A79B5"/>
    <w:rPr>
      <w:b/>
      <w:bCs/>
    </w:rPr>
  </w:style>
  <w:style w:type="paragraph" w:styleId="Lijstalinea">
    <w:name w:val="List Paragraph"/>
    <w:basedOn w:val="Standaard"/>
    <w:uiPriority w:val="34"/>
    <w:qFormat/>
    <w:rsid w:val="0020425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C86"/>
    <w:rPr>
      <w:rFonts w:ascii="Times New Roman" w:hAnsi="Times New Roman"/>
      <w:sz w:val="24"/>
      <w:szCs w:val="24"/>
    </w:rPr>
  </w:style>
  <w:style w:type="paragraph" w:styleId="Kop2">
    <w:name w:val="heading 2"/>
    <w:basedOn w:val="Standaard"/>
    <w:link w:val="Kop2Char"/>
    <w:uiPriority w:val="9"/>
    <w:semiHidden/>
    <w:unhideWhenUsed/>
    <w:qFormat/>
    <w:rsid w:val="006C4886"/>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116C86"/>
    <w:pPr>
      <w:autoSpaceDE w:val="0"/>
      <w:autoSpaceDN w:val="0"/>
      <w:adjustRightInd w:val="0"/>
    </w:pPr>
    <w:rPr>
      <w:rFonts w:ascii="EUAlbertina" w:hAnsi="EUAlbertina" w:cs="EUAlbertina"/>
      <w:color w:val="000000"/>
      <w:sz w:val="24"/>
      <w:szCs w:val="24"/>
    </w:rPr>
  </w:style>
  <w:style w:type="paragraph" w:customStyle="1" w:styleId="Parlementair">
    <w:name w:val="Parlementair"/>
    <w:uiPriority w:val="99"/>
    <w:rsid w:val="00116C86"/>
    <w:pPr>
      <w:widowControl w:val="0"/>
      <w:autoSpaceDE w:val="0"/>
      <w:autoSpaceDN w:val="0"/>
      <w:adjustRightInd w:val="0"/>
      <w:spacing w:after="240"/>
      <w:jc w:val="right"/>
    </w:pPr>
    <w:rPr>
      <w:rFonts w:ascii="Arial" w:hAnsi="Arial" w:cs="Arial"/>
      <w:i/>
      <w:iCs/>
      <w:sz w:val="16"/>
      <w:szCs w:val="16"/>
    </w:rPr>
  </w:style>
  <w:style w:type="paragraph" w:customStyle="1" w:styleId="Plattetekstrechts">
    <w:name w:val="Platte tekst (rechts)"/>
    <w:uiPriority w:val="99"/>
    <w:rsid w:val="00116C86"/>
    <w:pPr>
      <w:widowControl w:val="0"/>
      <w:autoSpaceDE w:val="0"/>
      <w:autoSpaceDN w:val="0"/>
      <w:adjustRightInd w:val="0"/>
      <w:jc w:val="right"/>
    </w:pPr>
    <w:rPr>
      <w:rFonts w:ascii="Arial" w:hAnsi="Arial" w:cs="Arial"/>
    </w:rPr>
  </w:style>
  <w:style w:type="character" w:customStyle="1" w:styleId="Nadrukvet">
    <w:name w:val="Nadruk (vet)"/>
    <w:uiPriority w:val="99"/>
    <w:rsid w:val="00116C86"/>
    <w:rPr>
      <w:b/>
      <w:bCs/>
    </w:rPr>
  </w:style>
  <w:style w:type="paragraph" w:customStyle="1" w:styleId="Kopartikel">
    <w:name w:val="Kop (artikel)"/>
    <w:uiPriority w:val="99"/>
    <w:rsid w:val="00116C86"/>
    <w:pPr>
      <w:widowControl w:val="0"/>
      <w:autoSpaceDE w:val="0"/>
      <w:autoSpaceDN w:val="0"/>
      <w:adjustRightInd w:val="0"/>
      <w:spacing w:after="240"/>
    </w:pPr>
    <w:rPr>
      <w:rFonts w:ascii="Arial" w:hAnsi="Arial" w:cs="Arial"/>
      <w:b/>
      <w:bCs/>
    </w:rPr>
  </w:style>
  <w:style w:type="paragraph" w:customStyle="1" w:styleId="Onderdeelvaneenlijstdiepte1">
    <w:name w:val="Onderdeel van een lijst (diepte 1)"/>
    <w:rsid w:val="00116C86"/>
    <w:pPr>
      <w:widowControl w:val="0"/>
      <w:autoSpaceDE w:val="0"/>
      <w:autoSpaceDN w:val="0"/>
      <w:adjustRightInd w:val="0"/>
      <w:ind w:left="960" w:hanging="320"/>
    </w:pPr>
    <w:rPr>
      <w:rFonts w:ascii="Arial" w:hAnsi="Arial" w:cs="Arial"/>
    </w:rPr>
  </w:style>
  <w:style w:type="character" w:customStyle="1" w:styleId="Nadrukcursief">
    <w:name w:val="Nadruk (cursief)"/>
    <w:uiPriority w:val="99"/>
    <w:rsid w:val="00116C86"/>
    <w:rPr>
      <w:i/>
      <w:iCs/>
    </w:rPr>
  </w:style>
  <w:style w:type="paragraph" w:customStyle="1" w:styleId="Paragraafineenlijstdiepte0">
    <w:name w:val="Paragraaf in een lijst (diepte 0)"/>
    <w:rsid w:val="00116C86"/>
    <w:pPr>
      <w:widowControl w:val="0"/>
      <w:autoSpaceDE w:val="0"/>
      <w:autoSpaceDN w:val="0"/>
      <w:adjustRightInd w:val="0"/>
      <w:ind w:left="640"/>
    </w:pPr>
    <w:rPr>
      <w:rFonts w:ascii="Arial" w:hAnsi="Arial" w:cs="Arial"/>
    </w:rPr>
  </w:style>
  <w:style w:type="paragraph" w:customStyle="1" w:styleId="CM48">
    <w:name w:val="CM48"/>
    <w:basedOn w:val="Default"/>
    <w:next w:val="Default"/>
    <w:uiPriority w:val="99"/>
    <w:rsid w:val="00116C86"/>
    <w:pPr>
      <w:widowControl w:val="0"/>
      <w:spacing w:after="213"/>
    </w:pPr>
    <w:rPr>
      <w:rFonts w:ascii="EDGAG K+ Univers" w:hAnsi="EDGAG K+ Univers" w:cs="EDGAG K+ Univers"/>
      <w:color w:val="auto"/>
    </w:rPr>
  </w:style>
  <w:style w:type="paragraph" w:styleId="Koptekst">
    <w:name w:val="header"/>
    <w:basedOn w:val="Standaard"/>
    <w:link w:val="KoptekstChar"/>
    <w:uiPriority w:val="99"/>
    <w:rsid w:val="00116C86"/>
    <w:pPr>
      <w:tabs>
        <w:tab w:val="center" w:pos="4536"/>
        <w:tab w:val="right" w:pos="9072"/>
      </w:tabs>
    </w:pPr>
  </w:style>
  <w:style w:type="character" w:customStyle="1" w:styleId="KoptekstChar">
    <w:name w:val="Koptekst Char"/>
    <w:basedOn w:val="Standaardalinea-lettertype"/>
    <w:link w:val="Koptekst"/>
    <w:uiPriority w:val="99"/>
    <w:rsid w:val="00116C86"/>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116C86"/>
    <w:pPr>
      <w:tabs>
        <w:tab w:val="center" w:pos="4536"/>
        <w:tab w:val="right" w:pos="9072"/>
      </w:tabs>
    </w:pPr>
  </w:style>
  <w:style w:type="character" w:customStyle="1" w:styleId="VoettekstChar">
    <w:name w:val="Voettekst Char"/>
    <w:basedOn w:val="Standaardalinea-lettertype"/>
    <w:link w:val="Voettekst"/>
    <w:uiPriority w:val="99"/>
    <w:rsid w:val="00116C86"/>
    <w:rPr>
      <w:rFonts w:ascii="Times New Roman" w:eastAsia="Calibri" w:hAnsi="Times New Roman" w:cs="Times New Roman"/>
      <w:sz w:val="24"/>
      <w:szCs w:val="24"/>
      <w:lang w:eastAsia="nl-NL"/>
    </w:rPr>
  </w:style>
  <w:style w:type="character" w:styleId="Verwijzingopmerking">
    <w:name w:val="annotation reference"/>
    <w:basedOn w:val="Standaardalinea-lettertype"/>
    <w:uiPriority w:val="99"/>
    <w:semiHidden/>
    <w:unhideWhenUsed/>
    <w:rsid w:val="00002BB7"/>
    <w:rPr>
      <w:sz w:val="16"/>
      <w:szCs w:val="16"/>
    </w:rPr>
  </w:style>
  <w:style w:type="paragraph" w:styleId="Tekstopmerking">
    <w:name w:val="annotation text"/>
    <w:basedOn w:val="Standaard"/>
    <w:link w:val="TekstopmerkingChar"/>
    <w:uiPriority w:val="99"/>
    <w:unhideWhenUsed/>
    <w:rsid w:val="00002BB7"/>
    <w:rPr>
      <w:sz w:val="20"/>
      <w:szCs w:val="20"/>
    </w:rPr>
  </w:style>
  <w:style w:type="character" w:customStyle="1" w:styleId="TekstopmerkingChar">
    <w:name w:val="Tekst opmerking Char"/>
    <w:basedOn w:val="Standaardalinea-lettertype"/>
    <w:link w:val="Tekstopmerking"/>
    <w:uiPriority w:val="99"/>
    <w:rsid w:val="00002BB7"/>
    <w:rPr>
      <w:rFonts w:ascii="Times New Roman" w:hAnsi="Times New Roman"/>
    </w:rPr>
  </w:style>
  <w:style w:type="paragraph" w:styleId="Onderwerpvanopmerking">
    <w:name w:val="annotation subject"/>
    <w:basedOn w:val="Tekstopmerking"/>
    <w:next w:val="Tekstopmerking"/>
    <w:link w:val="OnderwerpvanopmerkingChar"/>
    <w:uiPriority w:val="99"/>
    <w:semiHidden/>
    <w:unhideWhenUsed/>
    <w:rsid w:val="00002BB7"/>
    <w:rPr>
      <w:b/>
      <w:bCs/>
    </w:rPr>
  </w:style>
  <w:style w:type="character" w:customStyle="1" w:styleId="OnderwerpvanopmerkingChar">
    <w:name w:val="Onderwerp van opmerking Char"/>
    <w:basedOn w:val="TekstopmerkingChar"/>
    <w:link w:val="Onderwerpvanopmerking"/>
    <w:uiPriority w:val="99"/>
    <w:semiHidden/>
    <w:rsid w:val="00002BB7"/>
    <w:rPr>
      <w:rFonts w:ascii="Times New Roman" w:hAnsi="Times New Roman"/>
      <w:b/>
      <w:bCs/>
    </w:rPr>
  </w:style>
  <w:style w:type="paragraph" w:styleId="Ballontekst">
    <w:name w:val="Balloon Text"/>
    <w:basedOn w:val="Standaard"/>
    <w:link w:val="BallontekstChar"/>
    <w:uiPriority w:val="99"/>
    <w:semiHidden/>
    <w:unhideWhenUsed/>
    <w:rsid w:val="00002BB7"/>
    <w:rPr>
      <w:rFonts w:ascii="Tahoma" w:hAnsi="Tahoma" w:cs="Tahoma"/>
      <w:sz w:val="16"/>
      <w:szCs w:val="16"/>
    </w:rPr>
  </w:style>
  <w:style w:type="character" w:customStyle="1" w:styleId="BallontekstChar">
    <w:name w:val="Ballontekst Char"/>
    <w:basedOn w:val="Standaardalinea-lettertype"/>
    <w:link w:val="Ballontekst"/>
    <w:uiPriority w:val="99"/>
    <w:semiHidden/>
    <w:rsid w:val="00002BB7"/>
    <w:rPr>
      <w:rFonts w:ascii="Tahoma" w:hAnsi="Tahoma" w:cs="Tahoma"/>
      <w:sz w:val="16"/>
      <w:szCs w:val="16"/>
    </w:rPr>
  </w:style>
  <w:style w:type="character" w:customStyle="1" w:styleId="Huisstijl-GegevenCharChar">
    <w:name w:val="Huisstijl-Gegeven Char Char"/>
    <w:basedOn w:val="Standaardalinea-lettertype"/>
    <w:rsid w:val="00A82B8D"/>
    <w:rPr>
      <w:rFonts w:ascii="Verdana" w:hAnsi="Verdana"/>
      <w:noProof/>
      <w:sz w:val="13"/>
      <w:szCs w:val="24"/>
      <w:lang w:val="nl-NL" w:eastAsia="nl-NL" w:bidi="ar-SA"/>
    </w:rPr>
  </w:style>
  <w:style w:type="paragraph" w:customStyle="1" w:styleId="wat1">
    <w:name w:val="wat1"/>
    <w:basedOn w:val="Standaard"/>
    <w:rsid w:val="001422F2"/>
    <w:pPr>
      <w:spacing w:before="100" w:beforeAutospacing="1" w:after="240"/>
    </w:pPr>
    <w:rPr>
      <w:rFonts w:eastAsia="Times New Roman"/>
    </w:rPr>
  </w:style>
  <w:style w:type="character" w:customStyle="1" w:styleId="nr">
    <w:name w:val="nr"/>
    <w:basedOn w:val="Standaardalinea-lettertype"/>
    <w:rsid w:val="001422F2"/>
  </w:style>
  <w:style w:type="character" w:customStyle="1" w:styleId="Kop2Char">
    <w:name w:val="Kop 2 Char"/>
    <w:basedOn w:val="Standaardalinea-lettertype"/>
    <w:link w:val="Kop2"/>
    <w:uiPriority w:val="9"/>
    <w:semiHidden/>
    <w:rsid w:val="006C4886"/>
    <w:rPr>
      <w:rFonts w:ascii="Times New Roman" w:eastAsia="Calibri" w:hAnsi="Times New Roman"/>
      <w:b/>
      <w:bCs/>
      <w:sz w:val="36"/>
      <w:szCs w:val="36"/>
    </w:rPr>
  </w:style>
  <w:style w:type="paragraph" w:customStyle="1" w:styleId="lid">
    <w:name w:val="lid"/>
    <w:basedOn w:val="Standaard"/>
    <w:rsid w:val="00843F4E"/>
    <w:pPr>
      <w:spacing w:before="100" w:beforeAutospacing="1" w:after="100" w:afterAutospacing="1"/>
    </w:pPr>
    <w:rPr>
      <w:rFonts w:eastAsia="Times New Roman"/>
    </w:rPr>
  </w:style>
  <w:style w:type="paragraph" w:styleId="Voetnoottekst">
    <w:name w:val="footnote text"/>
    <w:basedOn w:val="Standaard"/>
    <w:link w:val="VoetnoottekstChar"/>
    <w:uiPriority w:val="99"/>
    <w:unhideWhenUsed/>
    <w:rsid w:val="00262FA8"/>
    <w:rPr>
      <w:sz w:val="20"/>
      <w:szCs w:val="20"/>
    </w:rPr>
  </w:style>
  <w:style w:type="character" w:customStyle="1" w:styleId="VoetnoottekstChar">
    <w:name w:val="Voetnoottekst Char"/>
    <w:basedOn w:val="Standaardalinea-lettertype"/>
    <w:link w:val="Voetnoottekst"/>
    <w:uiPriority w:val="99"/>
    <w:rsid w:val="00262FA8"/>
    <w:rPr>
      <w:rFonts w:ascii="Times New Roman" w:hAnsi="Times New Roman"/>
    </w:rPr>
  </w:style>
  <w:style w:type="character" w:styleId="Voetnootmarkering">
    <w:name w:val="footnote reference"/>
    <w:basedOn w:val="Standaardalinea-lettertype"/>
    <w:uiPriority w:val="99"/>
    <w:unhideWhenUsed/>
    <w:rsid w:val="00262FA8"/>
    <w:rPr>
      <w:vertAlign w:val="superscript"/>
    </w:rPr>
  </w:style>
  <w:style w:type="table" w:styleId="Tabelraster">
    <w:name w:val="Table Grid"/>
    <w:basedOn w:val="Standaardtabel"/>
    <w:uiPriority w:val="59"/>
    <w:rsid w:val="009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A79B5"/>
    <w:rPr>
      <w:b/>
      <w:bCs/>
    </w:rPr>
  </w:style>
  <w:style w:type="paragraph" w:styleId="Lijstalinea">
    <w:name w:val="List Paragraph"/>
    <w:basedOn w:val="Standaard"/>
    <w:uiPriority w:val="34"/>
    <w:qFormat/>
    <w:rsid w:val="0020425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5120">
      <w:bodyDiv w:val="1"/>
      <w:marLeft w:val="0"/>
      <w:marRight w:val="0"/>
      <w:marTop w:val="0"/>
      <w:marBottom w:val="0"/>
      <w:divBdr>
        <w:top w:val="none" w:sz="0" w:space="0" w:color="auto"/>
        <w:left w:val="none" w:sz="0" w:space="0" w:color="auto"/>
        <w:bottom w:val="none" w:sz="0" w:space="0" w:color="auto"/>
        <w:right w:val="none" w:sz="0" w:space="0" w:color="auto"/>
      </w:divBdr>
    </w:div>
    <w:div w:id="654068223">
      <w:bodyDiv w:val="1"/>
      <w:marLeft w:val="0"/>
      <w:marRight w:val="0"/>
      <w:marTop w:val="0"/>
      <w:marBottom w:val="0"/>
      <w:divBdr>
        <w:top w:val="none" w:sz="0" w:space="0" w:color="auto"/>
        <w:left w:val="none" w:sz="0" w:space="0" w:color="auto"/>
        <w:bottom w:val="none" w:sz="0" w:space="0" w:color="auto"/>
        <w:right w:val="none" w:sz="0" w:space="0" w:color="auto"/>
      </w:divBdr>
    </w:div>
    <w:div w:id="726534488">
      <w:bodyDiv w:val="1"/>
      <w:marLeft w:val="0"/>
      <w:marRight w:val="0"/>
      <w:marTop w:val="0"/>
      <w:marBottom w:val="0"/>
      <w:divBdr>
        <w:top w:val="none" w:sz="0" w:space="0" w:color="auto"/>
        <w:left w:val="none" w:sz="0" w:space="0" w:color="auto"/>
        <w:bottom w:val="none" w:sz="0" w:space="0" w:color="auto"/>
        <w:right w:val="none" w:sz="0" w:space="0" w:color="auto"/>
      </w:divBdr>
    </w:div>
    <w:div w:id="960771299">
      <w:bodyDiv w:val="1"/>
      <w:marLeft w:val="0"/>
      <w:marRight w:val="0"/>
      <w:marTop w:val="0"/>
      <w:marBottom w:val="0"/>
      <w:divBdr>
        <w:top w:val="none" w:sz="0" w:space="0" w:color="auto"/>
        <w:left w:val="none" w:sz="0" w:space="0" w:color="auto"/>
        <w:bottom w:val="none" w:sz="0" w:space="0" w:color="auto"/>
        <w:right w:val="none" w:sz="0" w:space="0" w:color="auto"/>
      </w:divBdr>
      <w:divsChild>
        <w:div w:id="1000696421">
          <w:marLeft w:val="0"/>
          <w:marRight w:val="0"/>
          <w:marTop w:val="0"/>
          <w:marBottom w:val="0"/>
          <w:divBdr>
            <w:top w:val="none" w:sz="0" w:space="0" w:color="auto"/>
            <w:left w:val="none" w:sz="0" w:space="0" w:color="auto"/>
            <w:bottom w:val="none" w:sz="0" w:space="0" w:color="auto"/>
            <w:right w:val="none" w:sz="0" w:space="0" w:color="auto"/>
          </w:divBdr>
          <w:divsChild>
            <w:div w:id="536478191">
              <w:marLeft w:val="0"/>
              <w:marRight w:val="0"/>
              <w:marTop w:val="0"/>
              <w:marBottom w:val="0"/>
              <w:divBdr>
                <w:top w:val="none" w:sz="0" w:space="0" w:color="auto"/>
                <w:left w:val="none" w:sz="0" w:space="0" w:color="auto"/>
                <w:bottom w:val="none" w:sz="0" w:space="0" w:color="auto"/>
                <w:right w:val="none" w:sz="0" w:space="0" w:color="auto"/>
              </w:divBdr>
              <w:divsChild>
                <w:div w:id="1047922272">
                  <w:marLeft w:val="0"/>
                  <w:marRight w:val="0"/>
                  <w:marTop w:val="0"/>
                  <w:marBottom w:val="0"/>
                  <w:divBdr>
                    <w:top w:val="none" w:sz="0" w:space="0" w:color="auto"/>
                    <w:left w:val="none" w:sz="0" w:space="0" w:color="auto"/>
                    <w:bottom w:val="none" w:sz="0" w:space="0" w:color="auto"/>
                    <w:right w:val="none" w:sz="0" w:space="0" w:color="auto"/>
                  </w:divBdr>
                  <w:divsChild>
                    <w:div w:id="1652757447">
                      <w:marLeft w:val="0"/>
                      <w:marRight w:val="0"/>
                      <w:marTop w:val="0"/>
                      <w:marBottom w:val="0"/>
                      <w:divBdr>
                        <w:top w:val="none" w:sz="0" w:space="0" w:color="auto"/>
                        <w:left w:val="none" w:sz="0" w:space="0" w:color="auto"/>
                        <w:bottom w:val="none" w:sz="0" w:space="0" w:color="auto"/>
                        <w:right w:val="none" w:sz="0" w:space="0" w:color="auto"/>
                      </w:divBdr>
                      <w:divsChild>
                        <w:div w:id="1142623155">
                          <w:marLeft w:val="0"/>
                          <w:marRight w:val="0"/>
                          <w:marTop w:val="0"/>
                          <w:marBottom w:val="0"/>
                          <w:divBdr>
                            <w:top w:val="none" w:sz="0" w:space="0" w:color="auto"/>
                            <w:left w:val="none" w:sz="0" w:space="0" w:color="auto"/>
                            <w:bottom w:val="none" w:sz="0" w:space="0" w:color="auto"/>
                            <w:right w:val="none" w:sz="0" w:space="0" w:color="auto"/>
                          </w:divBdr>
                          <w:divsChild>
                            <w:div w:id="11343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014283">
      <w:bodyDiv w:val="1"/>
      <w:marLeft w:val="0"/>
      <w:marRight w:val="0"/>
      <w:marTop w:val="0"/>
      <w:marBottom w:val="0"/>
      <w:divBdr>
        <w:top w:val="none" w:sz="0" w:space="0" w:color="auto"/>
        <w:left w:val="none" w:sz="0" w:space="0" w:color="auto"/>
        <w:bottom w:val="none" w:sz="0" w:space="0" w:color="auto"/>
        <w:right w:val="none" w:sz="0" w:space="0" w:color="auto"/>
      </w:divBdr>
    </w:div>
    <w:div w:id="1423263300">
      <w:bodyDiv w:val="1"/>
      <w:marLeft w:val="0"/>
      <w:marRight w:val="0"/>
      <w:marTop w:val="0"/>
      <w:marBottom w:val="0"/>
      <w:divBdr>
        <w:top w:val="none" w:sz="0" w:space="0" w:color="auto"/>
        <w:left w:val="none" w:sz="0" w:space="0" w:color="auto"/>
        <w:bottom w:val="none" w:sz="0" w:space="0" w:color="auto"/>
        <w:right w:val="none" w:sz="0" w:space="0" w:color="auto"/>
      </w:divBdr>
    </w:div>
    <w:div w:id="1765833203">
      <w:bodyDiv w:val="1"/>
      <w:marLeft w:val="0"/>
      <w:marRight w:val="0"/>
      <w:marTop w:val="0"/>
      <w:marBottom w:val="0"/>
      <w:divBdr>
        <w:top w:val="none" w:sz="0" w:space="0" w:color="auto"/>
        <w:left w:val="none" w:sz="0" w:space="0" w:color="auto"/>
        <w:bottom w:val="none" w:sz="0" w:space="0" w:color="auto"/>
        <w:right w:val="none" w:sz="0" w:space="0" w:color="auto"/>
      </w:divBdr>
    </w:div>
    <w:div w:id="1840072705">
      <w:bodyDiv w:val="1"/>
      <w:marLeft w:val="0"/>
      <w:marRight w:val="0"/>
      <w:marTop w:val="0"/>
      <w:marBottom w:val="0"/>
      <w:divBdr>
        <w:top w:val="none" w:sz="0" w:space="0" w:color="auto"/>
        <w:left w:val="none" w:sz="0" w:space="0" w:color="auto"/>
        <w:bottom w:val="none" w:sz="0" w:space="0" w:color="auto"/>
        <w:right w:val="none" w:sz="0" w:space="0" w:color="auto"/>
      </w:divBdr>
      <w:divsChild>
        <w:div w:id="1377393493">
          <w:marLeft w:val="0"/>
          <w:marRight w:val="0"/>
          <w:marTop w:val="0"/>
          <w:marBottom w:val="0"/>
          <w:divBdr>
            <w:top w:val="none" w:sz="0" w:space="0" w:color="auto"/>
            <w:left w:val="none" w:sz="0" w:space="0" w:color="auto"/>
            <w:bottom w:val="none" w:sz="0" w:space="0" w:color="auto"/>
            <w:right w:val="none" w:sz="0" w:space="0" w:color="auto"/>
          </w:divBdr>
          <w:divsChild>
            <w:div w:id="1464352804">
              <w:marLeft w:val="0"/>
              <w:marRight w:val="0"/>
              <w:marTop w:val="0"/>
              <w:marBottom w:val="0"/>
              <w:divBdr>
                <w:top w:val="none" w:sz="0" w:space="0" w:color="auto"/>
                <w:left w:val="none" w:sz="0" w:space="0" w:color="auto"/>
                <w:bottom w:val="none" w:sz="0" w:space="0" w:color="auto"/>
                <w:right w:val="none" w:sz="0" w:space="0" w:color="auto"/>
              </w:divBdr>
              <w:divsChild>
                <w:div w:id="107548949">
                  <w:marLeft w:val="0"/>
                  <w:marRight w:val="0"/>
                  <w:marTop w:val="0"/>
                  <w:marBottom w:val="0"/>
                  <w:divBdr>
                    <w:top w:val="none" w:sz="0" w:space="0" w:color="auto"/>
                    <w:left w:val="none" w:sz="0" w:space="0" w:color="auto"/>
                    <w:bottom w:val="none" w:sz="0" w:space="0" w:color="auto"/>
                    <w:right w:val="none" w:sz="0" w:space="0" w:color="auto"/>
                  </w:divBdr>
                  <w:divsChild>
                    <w:div w:id="1111783029">
                      <w:marLeft w:val="0"/>
                      <w:marRight w:val="0"/>
                      <w:marTop w:val="0"/>
                      <w:marBottom w:val="0"/>
                      <w:divBdr>
                        <w:top w:val="none" w:sz="0" w:space="0" w:color="auto"/>
                        <w:left w:val="none" w:sz="0" w:space="0" w:color="auto"/>
                        <w:bottom w:val="none" w:sz="0" w:space="0" w:color="auto"/>
                        <w:right w:val="none" w:sz="0" w:space="0" w:color="auto"/>
                      </w:divBdr>
                      <w:divsChild>
                        <w:div w:id="546793097">
                          <w:marLeft w:val="0"/>
                          <w:marRight w:val="0"/>
                          <w:marTop w:val="0"/>
                          <w:marBottom w:val="0"/>
                          <w:divBdr>
                            <w:top w:val="none" w:sz="0" w:space="0" w:color="auto"/>
                            <w:left w:val="none" w:sz="0" w:space="0" w:color="auto"/>
                            <w:bottom w:val="none" w:sz="0" w:space="0" w:color="auto"/>
                            <w:right w:val="none" w:sz="0" w:space="0" w:color="auto"/>
                          </w:divBdr>
                          <w:divsChild>
                            <w:div w:id="1622881358">
                              <w:marLeft w:val="0"/>
                              <w:marRight w:val="0"/>
                              <w:marTop w:val="0"/>
                              <w:marBottom w:val="0"/>
                              <w:divBdr>
                                <w:top w:val="none" w:sz="0" w:space="0" w:color="auto"/>
                                <w:left w:val="none" w:sz="0" w:space="0" w:color="auto"/>
                                <w:bottom w:val="none" w:sz="0" w:space="0" w:color="auto"/>
                                <w:right w:val="none" w:sz="0" w:space="0" w:color="auto"/>
                              </w:divBdr>
                              <w:divsChild>
                                <w:div w:id="2111391625">
                                  <w:marLeft w:val="0"/>
                                  <w:marRight w:val="0"/>
                                  <w:marTop w:val="0"/>
                                  <w:marBottom w:val="0"/>
                                  <w:divBdr>
                                    <w:top w:val="none" w:sz="0" w:space="0" w:color="auto"/>
                                    <w:left w:val="none" w:sz="0" w:space="0" w:color="auto"/>
                                    <w:bottom w:val="none" w:sz="0" w:space="0" w:color="auto"/>
                                    <w:right w:val="none" w:sz="0" w:space="0" w:color="auto"/>
                                  </w:divBdr>
                                  <w:divsChild>
                                    <w:div w:id="5355833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235A0FF6F2594BB883EF4DBDC3F29A" ma:contentTypeVersion="0" ma:contentTypeDescription="Een nieuw document maken." ma:contentTypeScope="" ma:versionID="b4979a82043b59318f19466b289de4a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E0CD5-8396-4D64-BFEC-77C9668545D5}"/>
</file>

<file path=customXml/itemProps2.xml><?xml version="1.0" encoding="utf-8"?>
<ds:datastoreItem xmlns:ds="http://schemas.openxmlformats.org/officeDocument/2006/customXml" ds:itemID="{D2C873B8-D6E7-47BD-B3B1-AD04236D74E9}"/>
</file>

<file path=customXml/itemProps3.xml><?xml version="1.0" encoding="utf-8"?>
<ds:datastoreItem xmlns:ds="http://schemas.openxmlformats.org/officeDocument/2006/customXml" ds:itemID="{C5D48616-68AF-4EAB-9163-E80549E82F1A}"/>
</file>

<file path=customXml/itemProps4.xml><?xml version="1.0" encoding="utf-8"?>
<ds:datastoreItem xmlns:ds="http://schemas.openxmlformats.org/officeDocument/2006/customXml" ds:itemID="{558C0973-38CB-4D84-8433-B3CCF35C8C73}"/>
</file>

<file path=customXml/itemProps5.xml><?xml version="1.0" encoding="utf-8"?>
<ds:datastoreItem xmlns:ds="http://schemas.openxmlformats.org/officeDocument/2006/customXml" ds:itemID="{27698EB6-565A-4EE5-8F08-8E2E41A6D778}"/>
</file>

<file path=customXml/itemProps6.xml><?xml version="1.0" encoding="utf-8"?>
<ds:datastoreItem xmlns:ds="http://schemas.openxmlformats.org/officeDocument/2006/customXml" ds:itemID="{A06CF593-CD25-49D1-8789-22303DBAB1E8}"/>
</file>

<file path=customXml/itemProps7.xml><?xml version="1.0" encoding="utf-8"?>
<ds:datastoreItem xmlns:ds="http://schemas.openxmlformats.org/officeDocument/2006/customXml" ds:itemID="{73192312-7DC3-46BF-8825-43FF6A1EB5D3}"/>
</file>

<file path=docProps/app.xml><?xml version="1.0" encoding="utf-8"?>
<Properties xmlns="http://schemas.openxmlformats.org/officeDocument/2006/extended-properties" xmlns:vt="http://schemas.openxmlformats.org/officeDocument/2006/docPropsVTypes">
  <Template>BC8DB7F9</Template>
  <TotalTime>0</TotalTime>
  <Pages>37</Pages>
  <Words>14494</Words>
  <Characters>79723</Characters>
  <Application>Microsoft Office Word</Application>
  <DocSecurity>4</DocSecurity>
  <Lines>664</Lines>
  <Paragraphs>188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HIENSCH</dc:creator>
  <cp:lastModifiedBy>Stefano Tamin</cp:lastModifiedBy>
  <cp:revision>2</cp:revision>
  <cp:lastPrinted>2014-11-27T15:51:00Z</cp:lastPrinted>
  <dcterms:created xsi:type="dcterms:W3CDTF">2014-12-08T14:51:00Z</dcterms:created>
  <dcterms:modified xsi:type="dcterms:W3CDTF">2014-12-08T14:51:00Z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